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8C" w:rsidRDefault="007B1FF2" w:rsidP="005A4E4E">
      <w:bookmarkStart w:id="0" w:name="_GoBack"/>
      <w:bookmarkEnd w:id="0"/>
      <w:r>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_x0000_s1043" type="#_x0000_t202" style="position:absolute;margin-left:368.8pt;margin-top:-18.9pt;width:262.05pt;height:47.45pt;z-index:251668480;visibility:visible;mso-wrap-edited:f;mso-wrap-distance-left:2.88pt;mso-wrap-distance-top:2.88pt;mso-wrap-distance-right:2.88pt;mso-wrap-distance-bottom:2.88pt" fillcolor="#548dd4" stroked="f" strokeweight="0" insetpen="t" o:cliptowrap="t">
            <v:shadow color="#ccc"/>
            <v:textbox style="mso-next-textbox:#_x0000_s1043;mso-column-margin:5.7pt" inset="2.85pt,2.85pt,2.85pt,2.85pt">
              <w:txbxContent>
                <w:p w:rsidR="00216D9F" w:rsidRDefault="00B27ACB" w:rsidP="00216D9F">
                  <w:pPr>
                    <w:pStyle w:val="Titre3"/>
                  </w:pPr>
                  <w:r>
                    <w:t xml:space="preserve"> </w:t>
                  </w:r>
                  <w:r w:rsidRPr="00B27ACB">
                    <w:t xml:space="preserve">« </w:t>
                  </w:r>
                  <w:r w:rsidR="004752D3">
                    <w:t xml:space="preserve">Définition, </w:t>
                  </w:r>
                  <w:r w:rsidR="00D95A9A">
                    <w:t xml:space="preserve">Contexte et enjeux de la </w:t>
                  </w:r>
                  <w:proofErr w:type="spellStart"/>
                  <w:r w:rsidR="00D95A9A">
                    <w:t>pair</w:t>
                  </w:r>
                  <w:proofErr w:type="spellEnd"/>
                  <w:r w:rsidR="00D95A9A">
                    <w:t>-</w:t>
                  </w:r>
                  <w:proofErr w:type="spellStart"/>
                  <w:r w:rsidR="00D95A9A">
                    <w:t>aidance</w:t>
                  </w:r>
                  <w:proofErr w:type="spellEnd"/>
                  <w:r w:rsidR="00D95A9A">
                    <w:t xml:space="preserve"> et des savoirs expérientiels</w:t>
                  </w:r>
                  <w:r w:rsidRPr="00B27ACB">
                    <w:t xml:space="preserve"> »</w:t>
                  </w:r>
                </w:p>
              </w:txbxContent>
            </v:textbox>
          </v:shape>
        </w:pict>
      </w:r>
      <w:r>
        <w:rPr>
          <w:rFonts w:ascii="Times New Roman" w:hAnsi="Times New Roman"/>
          <w:noProof/>
          <w:color w:val="auto"/>
          <w:kern w:val="0"/>
          <w:sz w:val="24"/>
          <w:szCs w:val="24"/>
        </w:rPr>
        <w:pict>
          <v:rect id="_x0000_s1042" style="position:absolute;margin-left:363.4pt;margin-top:-26.4pt;width:272.85pt;height:63.5pt;z-index:251667456;visibility:visible;mso-wrap-edited:f;mso-wrap-distance-left:2.88pt;mso-wrap-distance-top:2.88pt;mso-wrap-distance-right:2.88pt;mso-wrap-distance-bottom:2.88pt" fillcolor="#548dd4" stroked="f" strokeweight="0" insetpen="t" o:cliptowrap="t">
            <v:shadow color="#ccc"/>
            <v:textbox inset="2.88pt,2.88pt,2.88pt,2.88pt"/>
          </v:rect>
        </w:pict>
      </w:r>
      <w:r w:rsidR="00A15FB0">
        <w:rPr>
          <w:rFonts w:ascii="Times New Roman" w:hAnsi="Times New Roman"/>
          <w:noProof/>
          <w:color w:val="auto"/>
          <w:kern w:val="0"/>
          <w:sz w:val="24"/>
          <w:szCs w:val="24"/>
        </w:rPr>
        <w:pict>
          <v:rect id="_x0000_s1040" style="position:absolute;margin-left:9.55pt;margin-top:-26.4pt;width:272.85pt;height:63.5pt;z-index:251665408;visibility:visible;mso-wrap-edited:f;mso-wrap-distance-left:2.88pt;mso-wrap-distance-top:2.88pt;mso-wrap-distance-right:2.88pt;mso-wrap-distance-bottom:2.88pt" o:regroupid="1" fillcolor="#548dd4" stroked="f" strokeweight="0" insetpen="t" o:cliptowrap="t">
            <v:shadow color="#ccc"/>
            <v:textbox inset="2.88pt,2.88pt,2.88pt,2.88pt"/>
          </v:rect>
        </w:pict>
      </w:r>
      <w:r w:rsidR="00A15FB0">
        <w:rPr>
          <w:rFonts w:ascii="Times New Roman" w:hAnsi="Times New Roman"/>
          <w:noProof/>
          <w:color w:val="auto"/>
          <w:kern w:val="0"/>
          <w:sz w:val="24"/>
          <w:szCs w:val="24"/>
        </w:rPr>
        <w:pict>
          <v:shape id="_x0000_s1041" type="#_x0000_t202" style="position:absolute;margin-left:14.95pt;margin-top:-22.65pt;width:262.05pt;height:58.25pt;z-index:251666432;visibility:visible;mso-wrap-edited:f;mso-wrap-distance-left:2.88pt;mso-wrap-distance-top:2.88pt;mso-wrap-distance-right:2.88pt;mso-wrap-distance-bottom:2.88pt" o:regroupid="1" fillcolor="#548dd4" stroked="f" strokeweight="0" insetpen="t" o:cliptowrap="t">
            <v:shadow color="#ccc"/>
            <v:textbox style="mso-next-textbox:#_x0000_s1041;mso-column-margin:5.7pt" inset="2.85pt,2.85pt,2.85pt,2.85pt">
              <w:txbxContent>
                <w:p w:rsidR="00B27ACB" w:rsidRDefault="00B27ACB" w:rsidP="00B27ACB">
                  <w:pPr>
                    <w:pStyle w:val="Titre3"/>
                    <w:spacing w:after="0"/>
                  </w:pPr>
                  <w:r>
                    <w:t xml:space="preserve">Intervention de </w:t>
                  </w:r>
                </w:p>
                <w:p w:rsidR="00B27ACB" w:rsidRDefault="00B27ACB" w:rsidP="00B27ACB">
                  <w:pPr>
                    <w:pStyle w:val="Titre3"/>
                    <w:spacing w:after="0"/>
                  </w:pPr>
                  <w:r>
                    <w:t>M</w:t>
                  </w:r>
                  <w:r w:rsidR="00D95A9A">
                    <w:t>me Gardien</w:t>
                  </w:r>
                </w:p>
                <w:p w:rsidR="00B27ACB" w:rsidRDefault="00B27ACB" w:rsidP="00B27ACB">
                  <w:pPr>
                    <w:pStyle w:val="Titre3"/>
                    <w:spacing w:after="0"/>
                  </w:pPr>
                </w:p>
                <w:p w:rsidR="00216D9F" w:rsidRDefault="00D95A9A" w:rsidP="00B27ACB">
                  <w:pPr>
                    <w:pStyle w:val="Titre3"/>
                    <w:spacing w:after="0"/>
                  </w:pPr>
                  <w:r>
                    <w:t>Université Rennes 2</w:t>
                  </w:r>
                  <w:r w:rsidR="00216D9F">
                    <w:t xml:space="preserve"> </w:t>
                  </w:r>
                </w:p>
              </w:txbxContent>
            </v:textbox>
          </v:shape>
        </w:pict>
      </w:r>
    </w:p>
    <w:p w:rsidR="0091028C" w:rsidRDefault="007B1FF2" w:rsidP="005A4E4E">
      <w:r>
        <w:rPr>
          <w:rFonts w:ascii="Times New Roman" w:hAnsi="Times New Roman"/>
          <w:color w:val="auto"/>
          <w:kern w:val="0"/>
          <w:sz w:val="24"/>
          <w:szCs w:val="24"/>
        </w:rPr>
        <w:pict>
          <v:rect id="_x0000_s1046" style="position:absolute;margin-left:338.55pt;margin-top:-.05pt;width:325.9pt;height:488pt;z-index:251656191;visibility:visible;mso-wrap-edited:f;mso-wrap-distance-left:2.88pt;mso-wrap-distance-top:2.88pt;mso-wrap-distance-right:2.88pt;mso-wrap-distance-bottom:2.88pt" strokeweight=".25pt" insetpen="t" o:cliptowrap="t">
            <v:shadow color="#ccc"/>
            <v:textbox inset="2.88pt,2.88pt,2.88pt,2.88pt">
              <w:txbxContent>
                <w:p w:rsidR="0091028C" w:rsidRDefault="0091028C"/>
                <w:p w:rsidR="0091028C" w:rsidRDefault="0091028C"/>
                <w:p w:rsidR="0091028C" w:rsidRDefault="0091028C"/>
                <w:p w:rsidR="0091028C" w:rsidRDefault="0091028C"/>
                <w:p w:rsidR="005572ED" w:rsidRPr="000C7BCF" w:rsidRDefault="005572ED" w:rsidP="005572ED">
                  <w:pPr>
                    <w:rPr>
                      <w:b/>
                      <w:sz w:val="28"/>
                      <w:szCs w:val="28"/>
                    </w:rPr>
                  </w:pPr>
                  <w:r w:rsidRPr="000C7BCF">
                    <w:rPr>
                      <w:b/>
                      <w:sz w:val="28"/>
                      <w:szCs w:val="28"/>
                    </w:rPr>
                    <w:t xml:space="preserve">Références bibliographiques </w:t>
                  </w:r>
                </w:p>
                <w:p w:rsidR="005572ED" w:rsidRDefault="005572ED" w:rsidP="005572ED"/>
                <w:p w:rsidR="005572ED" w:rsidRPr="000C7BCF" w:rsidRDefault="005572ED" w:rsidP="003507AD">
                  <w:pPr>
                    <w:spacing w:after="0"/>
                    <w:contextualSpacing/>
                    <w:rPr>
                      <w:sz w:val="24"/>
                      <w:szCs w:val="24"/>
                    </w:rPr>
                  </w:pPr>
                  <w:r w:rsidRPr="000C7BCF">
                    <w:rPr>
                      <w:sz w:val="24"/>
                      <w:szCs w:val="24"/>
                    </w:rPr>
                    <w:t xml:space="preserve">Eve Gardien, Les savoirs expérientiels : entre objectivité des faits, subjectivité de l’expérience et pertinence validée par les pairs, </w:t>
                  </w:r>
                  <w:r w:rsidRPr="000C7BCF">
                    <w:rPr>
                      <w:i/>
                      <w:sz w:val="24"/>
                      <w:szCs w:val="24"/>
                    </w:rPr>
                    <w:t>revue Vie Sociale</w:t>
                  </w:r>
                  <w:r w:rsidRPr="000C7BCF">
                    <w:rPr>
                      <w:sz w:val="24"/>
                      <w:szCs w:val="24"/>
                    </w:rPr>
                    <w:t xml:space="preserve">, n°25-26, </w:t>
                  </w:r>
                  <w:proofErr w:type="spellStart"/>
                  <w:r w:rsidRPr="000C7BCF">
                    <w:rPr>
                      <w:sz w:val="24"/>
                      <w:szCs w:val="24"/>
                    </w:rPr>
                    <w:t>Erès</w:t>
                  </w:r>
                  <w:proofErr w:type="spellEnd"/>
                  <w:r w:rsidRPr="000C7BCF">
                    <w:rPr>
                      <w:sz w:val="24"/>
                      <w:szCs w:val="24"/>
                    </w:rPr>
                    <w:t xml:space="preserve">, avril 2019 </w:t>
                  </w:r>
                </w:p>
                <w:p w:rsidR="003507AD" w:rsidRPr="000C7BCF" w:rsidRDefault="003507AD" w:rsidP="003507AD">
                  <w:pPr>
                    <w:spacing w:after="0"/>
                    <w:contextualSpacing/>
                    <w:rPr>
                      <w:sz w:val="24"/>
                      <w:szCs w:val="24"/>
                    </w:rPr>
                  </w:pPr>
                </w:p>
                <w:p w:rsidR="005572ED" w:rsidRPr="000C7BCF" w:rsidRDefault="005572ED" w:rsidP="003507AD">
                  <w:pPr>
                    <w:spacing w:after="0"/>
                    <w:contextualSpacing/>
                    <w:rPr>
                      <w:sz w:val="24"/>
                      <w:szCs w:val="24"/>
                    </w:rPr>
                  </w:pPr>
                  <w:r w:rsidRPr="000C7BCF">
                    <w:rPr>
                      <w:sz w:val="24"/>
                      <w:szCs w:val="24"/>
                    </w:rPr>
                    <w:t xml:space="preserve">Eve Gardien, La participation à un groupe de pairs comme condition favorable à la production de savoirs expérientiels : l’exemple des entendeurs de voix, </w:t>
                  </w:r>
                  <w:r w:rsidRPr="000C7BCF">
                    <w:rPr>
                      <w:i/>
                      <w:sz w:val="24"/>
                      <w:szCs w:val="24"/>
                    </w:rPr>
                    <w:t>Participations – revue de sciences sociales sur la démocratie et la citoyenneté</w:t>
                  </w:r>
                  <w:r w:rsidRPr="000C7BCF">
                    <w:rPr>
                      <w:sz w:val="24"/>
                      <w:szCs w:val="24"/>
                    </w:rPr>
                    <w:t>, Situations de handicap, démocratie en santé et participation, n°22, 2018/3, pp.29-51</w:t>
                  </w:r>
                </w:p>
                <w:p w:rsidR="003507AD" w:rsidRPr="000C7BCF" w:rsidRDefault="003507AD" w:rsidP="003507AD">
                  <w:pPr>
                    <w:spacing w:after="0"/>
                    <w:contextualSpacing/>
                    <w:rPr>
                      <w:sz w:val="24"/>
                      <w:szCs w:val="24"/>
                    </w:rPr>
                  </w:pPr>
                </w:p>
                <w:p w:rsidR="005572ED" w:rsidRPr="000C7BCF" w:rsidRDefault="005572ED" w:rsidP="003507AD">
                  <w:pPr>
                    <w:spacing w:after="0"/>
                    <w:contextualSpacing/>
                    <w:rPr>
                      <w:sz w:val="24"/>
                      <w:szCs w:val="24"/>
                      <w:lang w:val="en-US"/>
                    </w:rPr>
                  </w:pPr>
                  <w:r w:rsidRPr="000C7BCF">
                    <w:rPr>
                      <w:sz w:val="24"/>
                      <w:szCs w:val="24"/>
                      <w:lang w:val="en-US"/>
                    </w:rPr>
                    <w:t xml:space="preserve">Eve </w:t>
                  </w:r>
                  <w:proofErr w:type="spellStart"/>
                  <w:r w:rsidRPr="000C7BCF">
                    <w:rPr>
                      <w:sz w:val="24"/>
                      <w:szCs w:val="24"/>
                      <w:lang w:val="en-US"/>
                    </w:rPr>
                    <w:t>Gardien</w:t>
                  </w:r>
                  <w:proofErr w:type="spellEnd"/>
                  <w:r w:rsidRPr="000C7BCF">
                    <w:rPr>
                      <w:sz w:val="24"/>
                      <w:szCs w:val="24"/>
                      <w:lang w:val="en-US"/>
                    </w:rPr>
                    <w:t xml:space="preserve">, Christian Laval, The </w:t>
                  </w:r>
                  <w:proofErr w:type="spellStart"/>
                  <w:r w:rsidRPr="000C7BCF">
                    <w:rPr>
                      <w:sz w:val="24"/>
                      <w:szCs w:val="24"/>
                      <w:lang w:val="en-US"/>
                    </w:rPr>
                    <w:t>institutionalisation</w:t>
                  </w:r>
                  <w:proofErr w:type="spellEnd"/>
                  <w:r w:rsidRPr="000C7BCF">
                    <w:rPr>
                      <w:sz w:val="24"/>
                      <w:szCs w:val="24"/>
                      <w:lang w:val="en-US"/>
                    </w:rPr>
                    <w:t xml:space="preserve"> of peer support in France: development of a social role and roll out of public policies, </w:t>
                  </w:r>
                  <w:r w:rsidRPr="000C7BCF">
                    <w:rPr>
                      <w:i/>
                      <w:sz w:val="24"/>
                      <w:szCs w:val="24"/>
                      <w:lang w:val="en-US"/>
                    </w:rPr>
                    <w:t>ALTER European Journal of Disability Research</w:t>
                  </w:r>
                  <w:r w:rsidRPr="000C7BCF">
                    <w:rPr>
                      <w:sz w:val="24"/>
                      <w:szCs w:val="24"/>
                      <w:lang w:val="en-US"/>
                    </w:rPr>
                    <w:t xml:space="preserve">, </w:t>
                  </w:r>
                  <w:proofErr w:type="spellStart"/>
                  <w:r w:rsidRPr="000C7BCF">
                    <w:rPr>
                      <w:sz w:val="24"/>
                      <w:szCs w:val="24"/>
                      <w:lang w:val="en-US"/>
                    </w:rPr>
                    <w:t>édition</w:t>
                  </w:r>
                  <w:proofErr w:type="spellEnd"/>
                  <w:r w:rsidRPr="000C7BCF">
                    <w:rPr>
                      <w:sz w:val="24"/>
                      <w:szCs w:val="24"/>
                      <w:lang w:val="en-US"/>
                    </w:rPr>
                    <w:t xml:space="preserve"> Elsevier Masson, </w:t>
                  </w:r>
                  <w:proofErr w:type="spellStart"/>
                  <w:r w:rsidRPr="000C7BCF">
                    <w:rPr>
                      <w:sz w:val="24"/>
                      <w:szCs w:val="24"/>
                      <w:lang w:val="en-US"/>
                    </w:rPr>
                    <w:t>octobre</w:t>
                  </w:r>
                  <w:proofErr w:type="spellEnd"/>
                  <w:r w:rsidRPr="000C7BCF">
                    <w:rPr>
                      <w:sz w:val="24"/>
                      <w:szCs w:val="24"/>
                      <w:lang w:val="en-US"/>
                    </w:rPr>
                    <w:t xml:space="preserve"> 2018, (</w:t>
                  </w:r>
                  <w:hyperlink r:id="rId6" w:history="1">
                    <w:r w:rsidR="003507AD" w:rsidRPr="000C7BCF">
                      <w:rPr>
                        <w:rStyle w:val="Lienhypertexte"/>
                        <w:sz w:val="24"/>
                        <w:szCs w:val="24"/>
                        <w:lang w:val="en-US"/>
                      </w:rPr>
                      <w:t>https://doi.org/10.1016/j.alter.2018.09.002</w:t>
                    </w:r>
                  </w:hyperlink>
                  <w:r w:rsidRPr="000C7BCF">
                    <w:rPr>
                      <w:sz w:val="24"/>
                      <w:szCs w:val="24"/>
                      <w:lang w:val="en-US"/>
                    </w:rPr>
                    <w:t xml:space="preserve">) (version </w:t>
                  </w:r>
                  <w:proofErr w:type="spellStart"/>
                  <w:r w:rsidRPr="000C7BCF">
                    <w:rPr>
                      <w:sz w:val="24"/>
                      <w:szCs w:val="24"/>
                      <w:lang w:val="en-US"/>
                    </w:rPr>
                    <w:t>française</w:t>
                  </w:r>
                  <w:proofErr w:type="spellEnd"/>
                  <w:r w:rsidRPr="000C7BCF">
                    <w:rPr>
                      <w:sz w:val="24"/>
                      <w:szCs w:val="24"/>
                      <w:lang w:val="en-US"/>
                    </w:rPr>
                    <w:t xml:space="preserve"> en </w:t>
                  </w:r>
                  <w:proofErr w:type="spellStart"/>
                  <w:r w:rsidRPr="000C7BCF">
                    <w:rPr>
                      <w:sz w:val="24"/>
                      <w:szCs w:val="24"/>
                      <w:lang w:val="en-US"/>
                    </w:rPr>
                    <w:t>ligne</w:t>
                  </w:r>
                  <w:proofErr w:type="spellEnd"/>
                  <w:r w:rsidRPr="000C7BCF">
                    <w:rPr>
                      <w:sz w:val="24"/>
                      <w:szCs w:val="24"/>
                      <w:lang w:val="en-US"/>
                    </w:rPr>
                    <w:t xml:space="preserve"> sur HAL : </w:t>
                  </w:r>
                  <w:hyperlink r:id="rId7" w:history="1">
                    <w:r w:rsidR="003507AD" w:rsidRPr="000C7BCF">
                      <w:rPr>
                        <w:rStyle w:val="Lienhypertexte"/>
                        <w:sz w:val="24"/>
                        <w:szCs w:val="24"/>
                        <w:lang w:val="en-US"/>
                      </w:rPr>
                      <w:t>https://hal.archives-ouvertes.fr/</w:t>
                    </w:r>
                  </w:hyperlink>
                  <w:r w:rsidRPr="000C7BCF">
                    <w:rPr>
                      <w:sz w:val="24"/>
                      <w:szCs w:val="24"/>
                      <w:lang w:val="en-US"/>
                    </w:rPr>
                    <w:t>)</w:t>
                  </w:r>
                </w:p>
                <w:p w:rsidR="003507AD" w:rsidRPr="000C7BCF" w:rsidRDefault="003507AD" w:rsidP="003507AD">
                  <w:pPr>
                    <w:spacing w:after="0"/>
                    <w:contextualSpacing/>
                    <w:rPr>
                      <w:sz w:val="24"/>
                      <w:szCs w:val="24"/>
                      <w:lang w:val="en-US"/>
                    </w:rPr>
                  </w:pPr>
                </w:p>
                <w:p w:rsidR="005572ED" w:rsidRPr="000C7BCF" w:rsidRDefault="005572ED" w:rsidP="003507AD">
                  <w:pPr>
                    <w:spacing w:after="0"/>
                    <w:contextualSpacing/>
                    <w:rPr>
                      <w:sz w:val="24"/>
                      <w:szCs w:val="24"/>
                    </w:rPr>
                  </w:pPr>
                  <w:r w:rsidRPr="000C7BCF">
                    <w:rPr>
                      <w:sz w:val="24"/>
                      <w:szCs w:val="24"/>
                    </w:rPr>
                    <w:t xml:space="preserve">Eve Gardien, Qu’apportent les savoirs expérientiels à la recherche en sciences humaines et sociales ?, </w:t>
                  </w:r>
                  <w:r w:rsidRPr="000C7BCF">
                    <w:rPr>
                      <w:i/>
                      <w:sz w:val="24"/>
                      <w:szCs w:val="24"/>
                    </w:rPr>
                    <w:t>Vie Sociale</w:t>
                  </w:r>
                  <w:r w:rsidRPr="000C7BCF">
                    <w:rPr>
                      <w:sz w:val="24"/>
                      <w:szCs w:val="24"/>
                    </w:rPr>
                    <w:t xml:space="preserve">, édition </w:t>
                  </w:r>
                  <w:proofErr w:type="spellStart"/>
                  <w:r w:rsidRPr="000C7BCF">
                    <w:rPr>
                      <w:sz w:val="24"/>
                      <w:szCs w:val="24"/>
                    </w:rPr>
                    <w:t>Erès</w:t>
                  </w:r>
                  <w:proofErr w:type="spellEnd"/>
                  <w:r w:rsidRPr="000C7BCF">
                    <w:rPr>
                      <w:sz w:val="24"/>
                      <w:szCs w:val="24"/>
                    </w:rPr>
                    <w:t>, n°20, mars 2018 pp. 31-44</w:t>
                  </w:r>
                </w:p>
                <w:p w:rsidR="003507AD" w:rsidRPr="000C7BCF" w:rsidRDefault="003507AD" w:rsidP="003507AD">
                  <w:pPr>
                    <w:spacing w:after="0"/>
                    <w:contextualSpacing/>
                    <w:rPr>
                      <w:sz w:val="24"/>
                      <w:szCs w:val="24"/>
                    </w:rPr>
                  </w:pPr>
                </w:p>
                <w:p w:rsidR="0091028C" w:rsidRPr="000C7BCF" w:rsidRDefault="005572ED" w:rsidP="003507AD">
                  <w:pPr>
                    <w:spacing w:after="0"/>
                    <w:contextualSpacing/>
                    <w:rPr>
                      <w:sz w:val="24"/>
                      <w:szCs w:val="24"/>
                    </w:rPr>
                  </w:pPr>
                  <w:r w:rsidRPr="000C7BCF">
                    <w:rPr>
                      <w:sz w:val="24"/>
                      <w:szCs w:val="24"/>
                    </w:rPr>
                    <w:t xml:space="preserve">Eve Gardien, La </w:t>
                  </w:r>
                  <w:proofErr w:type="spellStart"/>
                  <w:r w:rsidRPr="000C7BCF">
                    <w:rPr>
                      <w:sz w:val="24"/>
                      <w:szCs w:val="24"/>
                    </w:rPr>
                    <w:t>pairémulation</w:t>
                  </w:r>
                  <w:proofErr w:type="spellEnd"/>
                  <w:r w:rsidRPr="000C7BCF">
                    <w:rPr>
                      <w:sz w:val="24"/>
                      <w:szCs w:val="24"/>
                    </w:rPr>
                    <w:t xml:space="preserve"> entre bénévolat activiste et professionnalisation, Nadia </w:t>
                  </w:r>
                  <w:proofErr w:type="spellStart"/>
                  <w:r w:rsidRPr="000C7BCF">
                    <w:rPr>
                      <w:sz w:val="24"/>
                      <w:szCs w:val="24"/>
                    </w:rPr>
                    <w:t>Garnoussi</w:t>
                  </w:r>
                  <w:proofErr w:type="spellEnd"/>
                  <w:r w:rsidRPr="000C7BCF">
                    <w:rPr>
                      <w:sz w:val="24"/>
                      <w:szCs w:val="24"/>
                    </w:rPr>
                    <w:t xml:space="preserve"> et Lise </w:t>
                  </w:r>
                  <w:proofErr w:type="spellStart"/>
                  <w:r w:rsidRPr="000C7BCF">
                    <w:rPr>
                      <w:sz w:val="24"/>
                      <w:szCs w:val="24"/>
                    </w:rPr>
                    <w:t>Demailly</w:t>
                  </w:r>
                  <w:proofErr w:type="spellEnd"/>
                  <w:r w:rsidRPr="000C7BCF">
                    <w:rPr>
                      <w:sz w:val="24"/>
                      <w:szCs w:val="24"/>
                    </w:rPr>
                    <w:t xml:space="preserve"> (</w:t>
                  </w:r>
                  <w:proofErr w:type="spellStart"/>
                  <w:r w:rsidRPr="000C7BCF">
                    <w:rPr>
                      <w:sz w:val="24"/>
                      <w:szCs w:val="24"/>
                    </w:rPr>
                    <w:t>dir</w:t>
                  </w:r>
                  <w:proofErr w:type="spellEnd"/>
                  <w:r w:rsidRPr="000C7BCF">
                    <w:rPr>
                      <w:sz w:val="24"/>
                      <w:szCs w:val="24"/>
                    </w:rPr>
                    <w:t xml:space="preserve">.), </w:t>
                  </w:r>
                  <w:r w:rsidRPr="000C7BCF">
                    <w:rPr>
                      <w:i/>
                      <w:sz w:val="24"/>
                      <w:szCs w:val="24"/>
                    </w:rPr>
                    <w:t>Aller mieux. Approches sociologiques</w:t>
                  </w:r>
                  <w:r w:rsidRPr="000C7BCF">
                    <w:rPr>
                      <w:sz w:val="24"/>
                      <w:szCs w:val="24"/>
                    </w:rPr>
                    <w:t>, Lille, PUS, juin 2016, pp. 347-360</w:t>
                  </w:r>
                </w:p>
                <w:p w:rsidR="0091028C" w:rsidRDefault="0091028C" w:rsidP="003507AD">
                  <w:pPr>
                    <w:spacing w:after="0"/>
                    <w:contextualSpacing/>
                  </w:pPr>
                </w:p>
                <w:p w:rsidR="0091028C" w:rsidRDefault="0091028C"/>
                <w:p w:rsidR="0091028C" w:rsidRPr="0091028C" w:rsidRDefault="0091028C" w:rsidP="0091028C">
                  <w:pPr>
                    <w:pStyle w:val="msoaccenttext"/>
                    <w:widowControl w:val="0"/>
                    <w:jc w:val="center"/>
                    <w:rPr>
                      <w:b w:val="0"/>
                    </w:rPr>
                  </w:pPr>
                  <w:r w:rsidRPr="0091028C">
                    <w:rPr>
                      <w:b w:val="0"/>
                    </w:rPr>
                    <w:t>Dr Eve Gardien</w:t>
                  </w:r>
                </w:p>
                <w:p w:rsidR="0091028C" w:rsidRDefault="0091028C" w:rsidP="0091028C">
                  <w:pPr>
                    <w:jc w:val="center"/>
                  </w:pPr>
                  <w:r w:rsidRPr="0091028C">
                    <w:t>Docteur en sociologie et maître de conférences à l’Université Rennes 2</w:t>
                  </w:r>
                </w:p>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p w:rsidR="0091028C" w:rsidRDefault="0091028C" w:rsidP="0091028C">
                  <w:pPr>
                    <w:pStyle w:val="msoaccenttext"/>
                    <w:widowControl w:val="0"/>
                    <w:rPr>
                      <w:b w:val="0"/>
                      <w:bCs w:val="0"/>
                      <w:i/>
                      <w:iCs/>
                    </w:rPr>
                  </w:pPr>
                  <w:r>
                    <w:rPr>
                      <w:b w:val="0"/>
                      <w:bCs w:val="0"/>
                      <w:i/>
                      <w:iCs/>
                    </w:rPr>
                    <w:t>Docteur en sociologie et maître de conférences à l’Université Rennes 2</w:t>
                  </w:r>
                  <w:r>
                    <w:rPr>
                      <w:rFonts w:ascii="Times New Roman" w:hAnsi="Times New Roman"/>
                      <w:b w:val="0"/>
                      <w:bCs w:val="0"/>
                      <w:i/>
                      <w:iCs/>
                      <w:sz w:val="24"/>
                      <w:szCs w:val="24"/>
                    </w:rPr>
                    <w:t xml:space="preserve"> </w:t>
                  </w:r>
                </w:p>
                <w:p w:rsidR="0091028C" w:rsidRDefault="0091028C" w:rsidP="0091028C">
                  <w:r>
                    <w:t> </w:t>
                  </w:r>
                </w:p>
                <w:p w:rsidR="0091028C" w:rsidRDefault="0091028C"/>
              </w:txbxContent>
            </v:textbox>
          </v:rect>
        </w:pict>
      </w:r>
    </w:p>
    <w:p w:rsidR="00AD2898" w:rsidRPr="005A4E4E" w:rsidRDefault="000C7BCF" w:rsidP="005A4E4E">
      <w:r>
        <w:rPr>
          <w:rFonts w:ascii="Times New Roman" w:hAnsi="Times New Roman"/>
          <w:noProof/>
          <w:color w:val="auto"/>
          <w:kern w:val="0"/>
          <w:sz w:val="24"/>
          <w:szCs w:val="24"/>
        </w:rPr>
        <w:pict>
          <v:shapetype id="_x0000_t32" coordsize="21600,21600" o:spt="32" o:oned="t" path="m,l21600,21600e" filled="f">
            <v:path arrowok="t" fillok="f" o:connecttype="none"/>
            <o:lock v:ext="edit" shapetype="t"/>
          </v:shapetype>
          <v:shape id="_x0000_s1044" type="#_x0000_t32" style="position:absolute;margin-left:338.55pt;margin-top:423.35pt;width:325.9pt;height:0;z-index:251669504" o:connectortype="straight"/>
        </w:pict>
      </w:r>
      <w:r w:rsidR="007B1FF2">
        <w:rPr>
          <w:rFonts w:ascii="Times New Roman" w:hAnsi="Times New Roman"/>
          <w:color w:val="auto"/>
          <w:kern w:val="0"/>
          <w:sz w:val="24"/>
          <w:szCs w:val="24"/>
        </w:rPr>
        <w:pict>
          <v:rect id="_x0000_s1026" style="position:absolute;margin-left:-36.4pt;margin-top:-14.45pt;width:354.4pt;height:488pt;z-index:251657216;visibility:visible;mso-wrap-edited:f;mso-wrap-distance-left:2.88pt;mso-wrap-distance-top:2.88pt;mso-wrap-distance-right:2.88pt;mso-wrap-distance-bottom:2.88pt" strokeweight=".25pt" insetpen="t" o:cliptowrap="t">
            <v:shadow color="#ccc"/>
            <v:textbox inset="2.88pt,2.88pt,2.88pt,2.88pt">
              <w:txbxContent>
                <w:p w:rsidR="004604CA" w:rsidRDefault="004604CA"/>
                <w:p w:rsidR="006C347B" w:rsidRDefault="006C347B" w:rsidP="00DC3C32">
                  <w:pPr>
                    <w:spacing w:after="0"/>
                    <w:rPr>
                      <w:b/>
                    </w:rPr>
                  </w:pPr>
                </w:p>
                <w:p w:rsidR="0091028C" w:rsidRDefault="0091028C" w:rsidP="00DC3C32">
                  <w:pPr>
                    <w:spacing w:after="0"/>
                    <w:rPr>
                      <w:b/>
                    </w:rPr>
                  </w:pPr>
                </w:p>
                <w:p w:rsidR="0006514C" w:rsidRDefault="0006514C" w:rsidP="0006514C">
                  <w:pPr>
                    <w:spacing w:after="0"/>
                    <w:contextualSpacing/>
                    <w:jc w:val="both"/>
                    <w:rPr>
                      <w:b/>
                      <w:sz w:val="24"/>
                      <w:szCs w:val="24"/>
                    </w:rPr>
                  </w:pPr>
                </w:p>
                <w:p w:rsidR="0006514C" w:rsidRDefault="0006514C" w:rsidP="0006514C">
                  <w:pPr>
                    <w:spacing w:after="0"/>
                    <w:contextualSpacing/>
                    <w:jc w:val="both"/>
                    <w:rPr>
                      <w:b/>
                      <w:sz w:val="24"/>
                      <w:szCs w:val="24"/>
                    </w:rPr>
                  </w:pPr>
                </w:p>
                <w:p w:rsidR="0091028C" w:rsidRPr="000C7BCF" w:rsidRDefault="0091028C" w:rsidP="0006514C">
                  <w:pPr>
                    <w:spacing w:after="0"/>
                    <w:contextualSpacing/>
                    <w:jc w:val="both"/>
                    <w:rPr>
                      <w:b/>
                      <w:sz w:val="28"/>
                      <w:szCs w:val="28"/>
                    </w:rPr>
                  </w:pPr>
                  <w:r w:rsidRPr="000C7BCF">
                    <w:rPr>
                      <w:b/>
                      <w:sz w:val="28"/>
                      <w:szCs w:val="28"/>
                    </w:rPr>
                    <w:t>Présentat</w:t>
                  </w:r>
                  <w:r w:rsidR="0006514C" w:rsidRPr="000C7BCF">
                    <w:rPr>
                      <w:b/>
                      <w:sz w:val="28"/>
                      <w:szCs w:val="28"/>
                    </w:rPr>
                    <w:t>ion rapide</w:t>
                  </w:r>
                </w:p>
                <w:p w:rsidR="0006514C" w:rsidRPr="0006514C" w:rsidRDefault="0006514C" w:rsidP="0006514C">
                  <w:pPr>
                    <w:spacing w:after="0"/>
                    <w:contextualSpacing/>
                    <w:jc w:val="both"/>
                    <w:rPr>
                      <w:b/>
                      <w:sz w:val="24"/>
                      <w:szCs w:val="24"/>
                    </w:rPr>
                  </w:pPr>
                </w:p>
                <w:p w:rsidR="0091028C" w:rsidRDefault="0091028C" w:rsidP="0091028C">
                  <w:pPr>
                    <w:spacing w:after="0"/>
                    <w:contextualSpacing/>
                    <w:jc w:val="both"/>
                  </w:pPr>
                </w:p>
                <w:p w:rsidR="0091028C" w:rsidRPr="000C7BCF" w:rsidRDefault="0091028C" w:rsidP="00973A4F">
                  <w:pPr>
                    <w:spacing w:after="0"/>
                    <w:contextualSpacing/>
                    <w:rPr>
                      <w:sz w:val="24"/>
                      <w:szCs w:val="24"/>
                    </w:rPr>
                  </w:pPr>
                  <w:r w:rsidRPr="000C7BCF">
                    <w:rPr>
                      <w:sz w:val="24"/>
                      <w:szCs w:val="24"/>
                    </w:rPr>
                    <w:t>Maître de conférences en sociologie à l’université Rennes</w:t>
                  </w:r>
                  <w:r w:rsidR="00973A4F" w:rsidRPr="000C7BCF">
                    <w:rPr>
                      <w:sz w:val="24"/>
                      <w:szCs w:val="24"/>
                    </w:rPr>
                    <w:t xml:space="preserve"> </w:t>
                  </w:r>
                  <w:r w:rsidRPr="000C7BCF">
                    <w:rPr>
                      <w:sz w:val="24"/>
                      <w:szCs w:val="24"/>
                    </w:rPr>
                    <w:t xml:space="preserve">2, Eve Gardien travaille à comprendre les situations de handicap depuis plus d’une décennie. Ses recherches ont permis d’éclairer diverses thématiques au nombre desquelles : l’apprentissage du corps après l’accident, les situations de handicap dans la vie professionnelle, les innovations sociales par et pour les personnes en situation de handicap, l’accompagnement et le soutien par les pairs, les savoirs issus des situations de handicap, l’aménagement du logement, la vie ordinaire avec des aides humaines 24h/24, etc. Eve Gardien déploie son activité de recherche au sein du laboratoire ESO-Rennes (UMR 6590). </w:t>
                  </w:r>
                </w:p>
                <w:p w:rsidR="0091028C" w:rsidRPr="000C7BCF" w:rsidRDefault="0091028C" w:rsidP="003507AD">
                  <w:pPr>
                    <w:spacing w:after="0"/>
                    <w:contextualSpacing/>
                    <w:jc w:val="both"/>
                    <w:rPr>
                      <w:sz w:val="24"/>
                      <w:szCs w:val="24"/>
                    </w:rPr>
                  </w:pPr>
                </w:p>
                <w:p w:rsidR="0091028C" w:rsidRPr="000C7BCF" w:rsidRDefault="0091028C" w:rsidP="00973A4F">
                  <w:pPr>
                    <w:spacing w:after="0"/>
                    <w:contextualSpacing/>
                    <w:rPr>
                      <w:sz w:val="24"/>
                      <w:szCs w:val="24"/>
                    </w:rPr>
                  </w:pPr>
                  <w:r w:rsidRPr="000C7BCF">
                    <w:rPr>
                      <w:sz w:val="24"/>
                      <w:szCs w:val="24"/>
                    </w:rPr>
                    <w:t>Son dernier ouvrage, paru aux PUG en 2017, est intitulé L’accompagnement et le soutien par les pairs.</w:t>
                  </w:r>
                </w:p>
                <w:p w:rsidR="0091028C" w:rsidRPr="000C7BCF" w:rsidRDefault="0091028C" w:rsidP="003507AD">
                  <w:pPr>
                    <w:spacing w:after="0"/>
                    <w:contextualSpacing/>
                    <w:jc w:val="both"/>
                    <w:rPr>
                      <w:sz w:val="24"/>
                      <w:szCs w:val="24"/>
                    </w:rPr>
                  </w:pPr>
                </w:p>
                <w:p w:rsidR="0091028C" w:rsidRPr="000C7BCF" w:rsidRDefault="0091028C" w:rsidP="00973A4F">
                  <w:pPr>
                    <w:spacing w:after="0"/>
                    <w:contextualSpacing/>
                    <w:rPr>
                      <w:sz w:val="24"/>
                      <w:szCs w:val="24"/>
                    </w:rPr>
                  </w:pPr>
                  <w:r w:rsidRPr="000C7BCF">
                    <w:rPr>
                      <w:sz w:val="24"/>
                      <w:szCs w:val="24"/>
                    </w:rPr>
                    <w:t xml:space="preserve">Eve Gardien, La participation à un groupe de pairs comme condition favorable à la production de savoirs expérientiels : l’exemple des entendeurs de voix, </w:t>
                  </w:r>
                  <w:r w:rsidRPr="000C7BCF">
                    <w:rPr>
                      <w:i/>
                      <w:sz w:val="24"/>
                      <w:szCs w:val="24"/>
                    </w:rPr>
                    <w:t>Participations – revue de sciences sociales sur la démocratie et la citoyenneté</w:t>
                  </w:r>
                  <w:r w:rsidRPr="000C7BCF">
                    <w:rPr>
                      <w:sz w:val="24"/>
                      <w:szCs w:val="24"/>
                    </w:rPr>
                    <w:t>, Situations de handicap, démocratie en santé et participation, n°22, 2018/3, pp.29-51</w:t>
                  </w:r>
                </w:p>
                <w:p w:rsidR="0091028C" w:rsidRPr="000C7BCF" w:rsidRDefault="0091028C" w:rsidP="003507AD">
                  <w:pPr>
                    <w:spacing w:after="0"/>
                    <w:contextualSpacing/>
                    <w:jc w:val="both"/>
                    <w:rPr>
                      <w:sz w:val="24"/>
                      <w:szCs w:val="24"/>
                    </w:rPr>
                  </w:pPr>
                </w:p>
                <w:p w:rsidR="0091028C" w:rsidRPr="000C7BCF" w:rsidRDefault="0091028C" w:rsidP="00973A4F">
                  <w:pPr>
                    <w:spacing w:after="0"/>
                    <w:contextualSpacing/>
                    <w:rPr>
                      <w:sz w:val="24"/>
                      <w:szCs w:val="24"/>
                    </w:rPr>
                  </w:pPr>
                  <w:r w:rsidRPr="000C7BCF">
                    <w:rPr>
                      <w:sz w:val="24"/>
                      <w:szCs w:val="24"/>
                    </w:rPr>
                    <w:t xml:space="preserve">Eve Gardien, La </w:t>
                  </w:r>
                  <w:proofErr w:type="spellStart"/>
                  <w:r w:rsidRPr="000C7BCF">
                    <w:rPr>
                      <w:sz w:val="24"/>
                      <w:szCs w:val="24"/>
                    </w:rPr>
                    <w:t>pairémulation</w:t>
                  </w:r>
                  <w:proofErr w:type="spellEnd"/>
                  <w:r w:rsidRPr="000C7BCF">
                    <w:rPr>
                      <w:sz w:val="24"/>
                      <w:szCs w:val="24"/>
                    </w:rPr>
                    <w:t xml:space="preserve"> entre bénévolat activiste et professionnalisation, Nadia </w:t>
                  </w:r>
                  <w:proofErr w:type="spellStart"/>
                  <w:r w:rsidRPr="000C7BCF">
                    <w:rPr>
                      <w:sz w:val="24"/>
                      <w:szCs w:val="24"/>
                    </w:rPr>
                    <w:t>Garnoussi</w:t>
                  </w:r>
                  <w:proofErr w:type="spellEnd"/>
                  <w:r w:rsidRPr="000C7BCF">
                    <w:rPr>
                      <w:sz w:val="24"/>
                      <w:szCs w:val="24"/>
                    </w:rPr>
                    <w:t xml:space="preserve"> et Lise </w:t>
                  </w:r>
                  <w:proofErr w:type="spellStart"/>
                  <w:r w:rsidRPr="000C7BCF">
                    <w:rPr>
                      <w:sz w:val="24"/>
                      <w:szCs w:val="24"/>
                    </w:rPr>
                    <w:t>Demailly</w:t>
                  </w:r>
                  <w:proofErr w:type="spellEnd"/>
                  <w:r w:rsidRPr="000C7BCF">
                    <w:rPr>
                      <w:sz w:val="24"/>
                      <w:szCs w:val="24"/>
                    </w:rPr>
                    <w:t xml:space="preserve"> (</w:t>
                  </w:r>
                  <w:proofErr w:type="spellStart"/>
                  <w:r w:rsidRPr="000C7BCF">
                    <w:rPr>
                      <w:sz w:val="24"/>
                      <w:szCs w:val="24"/>
                    </w:rPr>
                    <w:t>dir</w:t>
                  </w:r>
                  <w:proofErr w:type="spellEnd"/>
                  <w:r w:rsidRPr="000C7BCF">
                    <w:rPr>
                      <w:sz w:val="24"/>
                      <w:szCs w:val="24"/>
                    </w:rPr>
                    <w:t xml:space="preserve">.), </w:t>
                  </w:r>
                  <w:r w:rsidRPr="000C7BCF">
                    <w:rPr>
                      <w:i/>
                      <w:sz w:val="24"/>
                      <w:szCs w:val="24"/>
                    </w:rPr>
                    <w:t>Aller mieux. Approches sociologiques</w:t>
                  </w:r>
                  <w:r w:rsidRPr="000C7BCF">
                    <w:rPr>
                      <w:sz w:val="24"/>
                      <w:szCs w:val="24"/>
                    </w:rPr>
                    <w:t>, Lille, PUS, juin 2016, pp. 347-360</w:t>
                  </w:r>
                </w:p>
                <w:p w:rsidR="0091028C" w:rsidRPr="0006514C" w:rsidRDefault="0091028C" w:rsidP="003507AD">
                  <w:pPr>
                    <w:spacing w:after="0"/>
                    <w:contextualSpacing/>
                    <w:jc w:val="both"/>
                    <w:rPr>
                      <w:sz w:val="22"/>
                      <w:szCs w:val="22"/>
                    </w:rPr>
                  </w:pPr>
                </w:p>
                <w:p w:rsidR="0091028C" w:rsidRDefault="0091028C" w:rsidP="0091028C">
                  <w:pPr>
                    <w:spacing w:after="0"/>
                    <w:contextualSpacing/>
                    <w:jc w:val="both"/>
                  </w:pPr>
                </w:p>
                <w:p w:rsidR="0091028C" w:rsidRDefault="0091028C" w:rsidP="0091028C">
                  <w:pPr>
                    <w:spacing w:after="0"/>
                    <w:contextualSpacing/>
                    <w:jc w:val="both"/>
                  </w:pPr>
                </w:p>
                <w:p w:rsidR="0091028C" w:rsidRDefault="0091028C" w:rsidP="0091028C">
                  <w:pPr>
                    <w:spacing w:after="0"/>
                    <w:contextualSpacing/>
                    <w:jc w:val="both"/>
                  </w:pPr>
                </w:p>
                <w:p w:rsidR="0091028C" w:rsidRPr="0091028C" w:rsidRDefault="0091028C" w:rsidP="0091028C">
                  <w:pPr>
                    <w:spacing w:after="0"/>
                    <w:ind w:left="720"/>
                    <w:contextualSpacing/>
                    <w:jc w:val="both"/>
                  </w:pPr>
                </w:p>
              </w:txbxContent>
            </v:textbox>
          </v:rect>
        </w:pict>
      </w:r>
    </w:p>
    <w:sectPr w:rsidR="00AD2898" w:rsidRPr="005A4E4E" w:rsidSect="005A4E4E">
      <w:type w:val="continuous"/>
      <w:pgSz w:w="15840" w:h="12240" w:orient="landscape"/>
      <w:pgMar w:top="1418" w:right="1418" w:bottom="1418" w:left="1418"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w Cen MT">
    <w:altName w:val="Tw Cen"/>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F4766"/>
    <w:multiLevelType w:val="hybridMultilevel"/>
    <w:tmpl w:val="A98CD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C0796A"/>
    <w:multiLevelType w:val="hybridMultilevel"/>
    <w:tmpl w:val="5AEA2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3864F4"/>
    <w:multiLevelType w:val="hybridMultilevel"/>
    <w:tmpl w:val="4EF808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7C133788"/>
    <w:multiLevelType w:val="hybridMultilevel"/>
    <w:tmpl w:val="11100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94F"/>
    <w:rsid w:val="00024CFC"/>
    <w:rsid w:val="0006514C"/>
    <w:rsid w:val="000C7BCF"/>
    <w:rsid w:val="00216D9F"/>
    <w:rsid w:val="00224405"/>
    <w:rsid w:val="0031694F"/>
    <w:rsid w:val="003507AD"/>
    <w:rsid w:val="004054F5"/>
    <w:rsid w:val="00411BA5"/>
    <w:rsid w:val="004604CA"/>
    <w:rsid w:val="004752D3"/>
    <w:rsid w:val="00531C1C"/>
    <w:rsid w:val="005572ED"/>
    <w:rsid w:val="005A4E4E"/>
    <w:rsid w:val="005D63BC"/>
    <w:rsid w:val="006C347B"/>
    <w:rsid w:val="007B1FF2"/>
    <w:rsid w:val="00867BB5"/>
    <w:rsid w:val="0091028C"/>
    <w:rsid w:val="009416CA"/>
    <w:rsid w:val="00973A4F"/>
    <w:rsid w:val="00A15FB0"/>
    <w:rsid w:val="00A4693E"/>
    <w:rsid w:val="00AD2898"/>
    <w:rsid w:val="00B27ACB"/>
    <w:rsid w:val="00B7787E"/>
    <w:rsid w:val="00C71CFA"/>
    <w:rsid w:val="00D426DC"/>
    <w:rsid w:val="00D95A9A"/>
    <w:rsid w:val="00DC3C32"/>
    <w:rsid w:val="00E00798"/>
    <w:rsid w:val="00EA216A"/>
    <w:rsid w:val="00EB2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2" type="connector" idref="#_x0000_s1044"/>
      </o:rules>
      <o:regrouptable v:ext="edit">
        <o:entry new="1" old="0"/>
      </o:regrouptable>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00"/>
    </w:pPr>
    <w:rPr>
      <w:rFonts w:ascii="Garamond" w:hAnsi="Garamond" w:cs="Garamond"/>
      <w:color w:val="000000"/>
      <w:kern w:val="28"/>
      <w:sz w:val="18"/>
      <w:szCs w:val="18"/>
    </w:rPr>
  </w:style>
  <w:style w:type="paragraph" w:styleId="Titre3">
    <w:name w:val="heading 3"/>
    <w:basedOn w:val="Normal"/>
    <w:link w:val="Titre3Car"/>
    <w:uiPriority w:val="99"/>
    <w:qFormat/>
    <w:pPr>
      <w:spacing w:line="300" w:lineRule="auto"/>
      <w:jc w:val="center"/>
      <w:outlineLvl w:val="2"/>
    </w:pPr>
    <w:rPr>
      <w:rFonts w:ascii="Copperplate Gothic Bold" w:hAnsi="Copperplate Gothic Bold" w:cs="Copperplate Gothic Bold"/>
      <w:color w:val="FFFFFF"/>
      <w:spacing w:val="5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pPr>
      <w:spacing w:after="160" w:line="480" w:lineRule="auto"/>
      <w:jc w:val="center"/>
    </w:pPr>
  </w:style>
  <w:style w:type="character" w:customStyle="1" w:styleId="CorpsdetexteCar">
    <w:name w:val="Corps de texte Car"/>
    <w:basedOn w:val="Policepardfaut"/>
    <w:link w:val="Corpsdetexte"/>
    <w:uiPriority w:val="99"/>
    <w:semiHidden/>
    <w:rsid w:val="0031694F"/>
    <w:rPr>
      <w:rFonts w:ascii="Garamond" w:hAnsi="Garamond" w:cs="Garamond"/>
      <w:color w:val="000000"/>
      <w:kern w:val="28"/>
      <w:sz w:val="18"/>
      <w:szCs w:val="18"/>
    </w:rPr>
  </w:style>
  <w:style w:type="character" w:customStyle="1" w:styleId="Titre3Car">
    <w:name w:val="Titre 3 Car"/>
    <w:basedOn w:val="Policepardfaut"/>
    <w:link w:val="Titre3"/>
    <w:uiPriority w:val="99"/>
    <w:rsid w:val="0031694F"/>
    <w:rPr>
      <w:rFonts w:asciiTheme="majorHAnsi" w:eastAsiaTheme="majorEastAsia" w:hAnsiTheme="majorHAnsi" w:cstheme="majorBidi"/>
      <w:b/>
      <w:bCs/>
      <w:color w:val="000000"/>
      <w:kern w:val="28"/>
      <w:sz w:val="26"/>
      <w:szCs w:val="26"/>
    </w:rPr>
  </w:style>
  <w:style w:type="paragraph" w:styleId="Corpsdetexte3">
    <w:name w:val="Body Text 3"/>
    <w:basedOn w:val="Normal"/>
    <w:link w:val="Corpsdetexte3Car"/>
    <w:uiPriority w:val="99"/>
    <w:pPr>
      <w:spacing w:after="160"/>
      <w:jc w:val="center"/>
    </w:pPr>
  </w:style>
  <w:style w:type="character" w:customStyle="1" w:styleId="Corpsdetexte3Car">
    <w:name w:val="Corps de texte 3 Car"/>
    <w:basedOn w:val="Policepardfaut"/>
    <w:link w:val="Corpsdetexte3"/>
    <w:uiPriority w:val="99"/>
    <w:semiHidden/>
    <w:rsid w:val="0031694F"/>
    <w:rPr>
      <w:rFonts w:ascii="Garamond" w:hAnsi="Garamond" w:cs="Garamond"/>
      <w:color w:val="000000"/>
      <w:kern w:val="28"/>
      <w:sz w:val="16"/>
      <w:szCs w:val="16"/>
    </w:rPr>
  </w:style>
  <w:style w:type="paragraph" w:customStyle="1" w:styleId="unknownstyle">
    <w:name w:val="unknown style"/>
    <w:basedOn w:val="Normal"/>
    <w:uiPriority w:val="99"/>
    <w:rPr>
      <w:rFonts w:ascii="Tw Cen MT" w:hAnsi="Tw Cen MT" w:cs="Tw Cen MT"/>
      <w:b/>
      <w:bCs/>
    </w:rPr>
  </w:style>
  <w:style w:type="paragraph" w:customStyle="1" w:styleId="unknownstyle1">
    <w:name w:val="unknown style1"/>
    <w:uiPriority w:val="99"/>
    <w:pPr>
      <w:widowControl w:val="0"/>
      <w:overflowPunct w:val="0"/>
      <w:autoSpaceDE w:val="0"/>
      <w:autoSpaceDN w:val="0"/>
      <w:adjustRightInd w:val="0"/>
      <w:spacing w:after="80"/>
    </w:pPr>
    <w:rPr>
      <w:rFonts w:ascii="Tw Cen MT" w:hAnsi="Tw Cen MT" w:cs="Tw Cen MT"/>
      <w:color w:val="000000"/>
      <w:kern w:val="28"/>
      <w:sz w:val="18"/>
      <w:szCs w:val="18"/>
    </w:rPr>
  </w:style>
  <w:style w:type="paragraph" w:customStyle="1" w:styleId="Default">
    <w:name w:val="Default"/>
    <w:uiPriority w:val="99"/>
    <w:pPr>
      <w:widowControl w:val="0"/>
      <w:overflowPunct w:val="0"/>
      <w:autoSpaceDE w:val="0"/>
      <w:autoSpaceDN w:val="0"/>
      <w:adjustRightInd w:val="0"/>
      <w:spacing w:line="275" w:lineRule="auto"/>
    </w:pPr>
    <w:rPr>
      <w:rFonts w:ascii="Garamond" w:hAnsi="Garamond" w:cs="Garamond"/>
      <w:color w:val="000000"/>
      <w:kern w:val="28"/>
      <w:sz w:val="24"/>
      <w:szCs w:val="24"/>
    </w:rPr>
  </w:style>
  <w:style w:type="character" w:styleId="Lienhypertexte">
    <w:name w:val="Hyperlink"/>
    <w:basedOn w:val="Policepardfaut"/>
    <w:uiPriority w:val="99"/>
    <w:unhideWhenUsed/>
    <w:rsid w:val="00216D9F"/>
    <w:rPr>
      <w:color w:val="0000FF" w:themeColor="hyperlink"/>
      <w:u w:val="single"/>
    </w:rPr>
  </w:style>
  <w:style w:type="paragraph" w:styleId="Textedebulles">
    <w:name w:val="Balloon Text"/>
    <w:basedOn w:val="Normal"/>
    <w:link w:val="TextedebullesCar"/>
    <w:uiPriority w:val="99"/>
    <w:semiHidden/>
    <w:unhideWhenUsed/>
    <w:rsid w:val="006C347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347B"/>
    <w:rPr>
      <w:rFonts w:ascii="Tahoma" w:hAnsi="Tahoma" w:cs="Tahoma"/>
      <w:color w:val="000000"/>
      <w:kern w:val="28"/>
      <w:sz w:val="16"/>
      <w:szCs w:val="16"/>
    </w:rPr>
  </w:style>
  <w:style w:type="paragraph" w:styleId="Paragraphedeliste">
    <w:name w:val="List Paragraph"/>
    <w:basedOn w:val="Normal"/>
    <w:uiPriority w:val="34"/>
    <w:qFormat/>
    <w:rsid w:val="0091028C"/>
    <w:pPr>
      <w:widowControl/>
      <w:overflowPunct/>
      <w:autoSpaceDE/>
      <w:autoSpaceDN/>
      <w:adjustRightInd/>
      <w:spacing w:after="0"/>
      <w:ind w:left="720"/>
    </w:pPr>
    <w:rPr>
      <w:rFonts w:ascii="Calibri" w:eastAsia="Calibri" w:hAnsi="Calibri" w:cs="Times New Roman"/>
      <w:kern w:val="0"/>
      <w:sz w:val="22"/>
      <w:szCs w:val="22"/>
      <w:lang w:eastAsia="en-US"/>
    </w:rPr>
  </w:style>
  <w:style w:type="paragraph" w:customStyle="1" w:styleId="msoaccenttext">
    <w:name w:val="msoaccenttext"/>
    <w:basedOn w:val="Normal"/>
    <w:rsid w:val="0091028C"/>
    <w:pPr>
      <w:widowControl/>
      <w:overflowPunct/>
      <w:autoSpaceDE/>
      <w:autoSpaceDN/>
      <w:adjustRightInd/>
    </w:pPr>
    <w:rPr>
      <w:rFonts w:ascii="Tw Cen MT" w:eastAsia="Times New Roman" w:hAnsi="Tw Cen MT"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1645">
      <w:bodyDiv w:val="1"/>
      <w:marLeft w:val="0"/>
      <w:marRight w:val="0"/>
      <w:marTop w:val="0"/>
      <w:marBottom w:val="0"/>
      <w:divBdr>
        <w:top w:val="none" w:sz="0" w:space="0" w:color="auto"/>
        <w:left w:val="none" w:sz="0" w:space="0" w:color="auto"/>
        <w:bottom w:val="none" w:sz="0" w:space="0" w:color="auto"/>
        <w:right w:val="none" w:sz="0" w:space="0" w:color="auto"/>
      </w:divBdr>
    </w:div>
    <w:div w:id="344287442">
      <w:bodyDiv w:val="1"/>
      <w:marLeft w:val="0"/>
      <w:marRight w:val="0"/>
      <w:marTop w:val="0"/>
      <w:marBottom w:val="0"/>
      <w:divBdr>
        <w:top w:val="none" w:sz="0" w:space="0" w:color="auto"/>
        <w:left w:val="none" w:sz="0" w:space="0" w:color="auto"/>
        <w:bottom w:val="none" w:sz="0" w:space="0" w:color="auto"/>
        <w:right w:val="none" w:sz="0" w:space="0" w:color="auto"/>
      </w:divBdr>
    </w:div>
    <w:div w:id="517551125">
      <w:bodyDiv w:val="1"/>
      <w:marLeft w:val="0"/>
      <w:marRight w:val="0"/>
      <w:marTop w:val="0"/>
      <w:marBottom w:val="0"/>
      <w:divBdr>
        <w:top w:val="none" w:sz="0" w:space="0" w:color="auto"/>
        <w:left w:val="none" w:sz="0" w:space="0" w:color="auto"/>
        <w:bottom w:val="none" w:sz="0" w:space="0" w:color="auto"/>
        <w:right w:val="none" w:sz="0" w:space="0" w:color="auto"/>
      </w:divBdr>
    </w:div>
    <w:div w:id="1043365415">
      <w:bodyDiv w:val="1"/>
      <w:marLeft w:val="0"/>
      <w:marRight w:val="0"/>
      <w:marTop w:val="0"/>
      <w:marBottom w:val="0"/>
      <w:divBdr>
        <w:top w:val="none" w:sz="0" w:space="0" w:color="auto"/>
        <w:left w:val="none" w:sz="0" w:space="0" w:color="auto"/>
        <w:bottom w:val="none" w:sz="0" w:space="0" w:color="auto"/>
        <w:right w:val="none" w:sz="0" w:space="0" w:color="auto"/>
      </w:divBdr>
    </w:div>
    <w:div w:id="1158839293">
      <w:bodyDiv w:val="1"/>
      <w:marLeft w:val="0"/>
      <w:marRight w:val="0"/>
      <w:marTop w:val="0"/>
      <w:marBottom w:val="0"/>
      <w:divBdr>
        <w:top w:val="none" w:sz="0" w:space="0" w:color="auto"/>
        <w:left w:val="none" w:sz="0" w:space="0" w:color="auto"/>
        <w:bottom w:val="none" w:sz="0" w:space="0" w:color="auto"/>
        <w:right w:val="none" w:sz="0" w:space="0" w:color="auto"/>
      </w:divBdr>
    </w:div>
    <w:div w:id="213293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al.archives-ouvert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alter.2018.09.0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blaisea</cp:lastModifiedBy>
  <cp:revision>31</cp:revision>
  <cp:lastPrinted>2019-06-24T11:47:00Z</cp:lastPrinted>
  <dcterms:created xsi:type="dcterms:W3CDTF">2019-06-24T10:14:00Z</dcterms:created>
  <dcterms:modified xsi:type="dcterms:W3CDTF">2019-06-25T08:18:00Z</dcterms:modified>
</cp:coreProperties>
</file>