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8C" w:rsidRDefault="00B35E5E" w:rsidP="005A4E4E">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43" type="#_x0000_t202" style="position:absolute;margin-left:368.8pt;margin-top:-24.15pt;width:262.05pt;height:47.45pt;z-index:251668480;visibility:visible;mso-wrap-edited:f;mso-wrap-distance-left:2.88pt;mso-wrap-distance-top:2.88pt;mso-wrap-distance-right:2.88pt;mso-wrap-distance-bottom:2.88pt" fillcolor="#548dd4" stroked="f" strokeweight="0" insetpen="t" o:cliptowrap="t">
            <v:shadow color="#ccc"/>
            <v:textbox style="mso-next-textbox:#_x0000_s1043;mso-column-margin:5.7pt" inset="2.85pt,2.85pt,2.85pt,2.85pt">
              <w:txbxContent>
                <w:p w:rsidR="00216D9F" w:rsidRDefault="00B27ACB" w:rsidP="00216D9F">
                  <w:pPr>
                    <w:pStyle w:val="Titre3"/>
                  </w:pPr>
                  <w:r>
                    <w:t xml:space="preserve"> </w:t>
                  </w:r>
                  <w:r w:rsidR="002470AC">
                    <w:t>« </w:t>
                  </w:r>
                  <w:r w:rsidR="0004616D" w:rsidRPr="0004616D">
                    <w:t>Axe 3 de la</w:t>
                  </w:r>
                  <w:r w:rsidR="0004616D">
                    <w:t xml:space="preserve"> réponse accompagnée pour tous </w:t>
                  </w:r>
                  <w:r w:rsidRPr="00B27ACB">
                    <w:t>»</w:t>
                  </w:r>
                </w:p>
              </w:txbxContent>
            </v:textbox>
          </v:shape>
        </w:pict>
      </w:r>
      <w:r>
        <w:rPr>
          <w:rFonts w:ascii="Times New Roman" w:hAnsi="Times New Roman"/>
          <w:color w:val="auto"/>
          <w:kern w:val="0"/>
          <w:sz w:val="24"/>
          <w:szCs w:val="24"/>
        </w:rPr>
        <w:pict>
          <v:rect id="_x0000_s1026" style="position:absolute;margin-left:-44.65pt;margin-top:2.3pt;width:362.65pt;height:523.8pt;z-index:251657216;visibility:visible;mso-wrap-edited:f;mso-wrap-distance-left:2.88pt;mso-wrap-distance-top:2.88pt;mso-wrap-distance-right:2.88pt;mso-wrap-distance-bottom:2.88pt" strokeweight=".25pt" insetpen="t" o:cliptowrap="t">
            <v:shadow color="#ccc"/>
            <v:textbox inset="2.88pt,2.88pt,2.88pt,2.88pt">
              <w:txbxContent>
                <w:p w:rsidR="004604CA" w:rsidRDefault="004604CA"/>
                <w:p w:rsidR="006C347B" w:rsidRDefault="006C347B" w:rsidP="00DC3C32">
                  <w:pPr>
                    <w:spacing w:after="0"/>
                    <w:rPr>
                      <w:b/>
                    </w:rPr>
                  </w:pPr>
                </w:p>
                <w:p w:rsidR="0091028C" w:rsidRDefault="0091028C" w:rsidP="00DC3C32">
                  <w:pPr>
                    <w:spacing w:after="0"/>
                    <w:rPr>
                      <w:b/>
                    </w:rPr>
                  </w:pPr>
                </w:p>
                <w:p w:rsidR="00112C5E" w:rsidRPr="00112C5E" w:rsidRDefault="00112C5E" w:rsidP="00112C5E">
                  <w:pPr>
                    <w:spacing w:after="0"/>
                    <w:contextualSpacing/>
                    <w:jc w:val="both"/>
                    <w:rPr>
                      <w:b/>
                      <w:sz w:val="24"/>
                      <w:szCs w:val="24"/>
                    </w:rPr>
                  </w:pPr>
                  <w:r w:rsidRPr="00112C5E">
                    <w:rPr>
                      <w:b/>
                      <w:sz w:val="24"/>
                      <w:szCs w:val="24"/>
                    </w:rPr>
                    <w:t xml:space="preserve">Présentation rapide </w:t>
                  </w:r>
                </w:p>
                <w:p w:rsidR="00112C5E" w:rsidRPr="00112C5E" w:rsidRDefault="00112C5E" w:rsidP="00112C5E">
                  <w:pPr>
                    <w:spacing w:after="0"/>
                    <w:contextualSpacing/>
                    <w:jc w:val="both"/>
                    <w:rPr>
                      <w:sz w:val="22"/>
                      <w:szCs w:val="22"/>
                    </w:rPr>
                  </w:pPr>
                </w:p>
                <w:p w:rsidR="0091028C" w:rsidRPr="00112C5E" w:rsidRDefault="00112C5E" w:rsidP="00112C5E">
                  <w:pPr>
                    <w:spacing w:after="0"/>
                    <w:contextualSpacing/>
                    <w:rPr>
                      <w:sz w:val="22"/>
                      <w:szCs w:val="22"/>
                    </w:rPr>
                  </w:pPr>
                  <w:r w:rsidRPr="00112C5E">
                    <w:rPr>
                      <w:sz w:val="22"/>
                      <w:szCs w:val="22"/>
                    </w:rPr>
                    <w:t xml:space="preserve">Marina </w:t>
                  </w:r>
                  <w:proofErr w:type="spellStart"/>
                  <w:r w:rsidRPr="00112C5E">
                    <w:rPr>
                      <w:sz w:val="22"/>
                      <w:szCs w:val="22"/>
                    </w:rPr>
                    <w:t>Drobi</w:t>
                  </w:r>
                  <w:proofErr w:type="spellEnd"/>
                  <w:r w:rsidRPr="00112C5E">
                    <w:rPr>
                      <w:sz w:val="22"/>
                      <w:szCs w:val="22"/>
                    </w:rPr>
                    <w:t xml:space="preserve"> est cheffe de projet au sein de l’équipe du Comité interministériel du handicap chargée de coordination nationale de la démarche « Une réponse accompagnée pour tous » et pilote de plusieurs actions de l’axe 3 de cette démarche portant sur la participation et l’accompagnement par les pairs.</w:t>
                  </w:r>
                </w:p>
                <w:p w:rsidR="00112C5E" w:rsidRPr="00112C5E" w:rsidRDefault="00112C5E" w:rsidP="00112C5E">
                  <w:pPr>
                    <w:spacing w:after="0"/>
                    <w:contextualSpacing/>
                    <w:rPr>
                      <w:sz w:val="24"/>
                      <w:szCs w:val="24"/>
                    </w:rPr>
                  </w:pPr>
                </w:p>
                <w:p w:rsidR="00112C5E" w:rsidRPr="00112C5E" w:rsidRDefault="00112C5E" w:rsidP="00112C5E">
                  <w:pPr>
                    <w:spacing w:after="0"/>
                    <w:contextualSpacing/>
                    <w:rPr>
                      <w:b/>
                      <w:sz w:val="24"/>
                      <w:szCs w:val="24"/>
                    </w:rPr>
                  </w:pPr>
                  <w:r w:rsidRPr="00112C5E">
                    <w:rPr>
                      <w:b/>
                      <w:sz w:val="24"/>
                      <w:szCs w:val="24"/>
                    </w:rPr>
                    <w:t xml:space="preserve">Comment définiriez-vous la </w:t>
                  </w:r>
                  <w:proofErr w:type="spellStart"/>
                  <w:r w:rsidRPr="00112C5E">
                    <w:rPr>
                      <w:b/>
                      <w:sz w:val="24"/>
                      <w:szCs w:val="24"/>
                    </w:rPr>
                    <w:t>pair</w:t>
                  </w:r>
                  <w:proofErr w:type="spellEnd"/>
                  <w:r w:rsidRPr="00112C5E">
                    <w:rPr>
                      <w:b/>
                      <w:sz w:val="24"/>
                      <w:szCs w:val="24"/>
                    </w:rPr>
                    <w:t>-</w:t>
                  </w:r>
                  <w:proofErr w:type="spellStart"/>
                  <w:r w:rsidRPr="00112C5E">
                    <w:rPr>
                      <w:b/>
                      <w:sz w:val="24"/>
                      <w:szCs w:val="24"/>
                    </w:rPr>
                    <w:t>aidance</w:t>
                  </w:r>
                  <w:proofErr w:type="spellEnd"/>
                  <w:r w:rsidRPr="00112C5E">
                    <w:rPr>
                      <w:b/>
                      <w:sz w:val="24"/>
                      <w:szCs w:val="24"/>
                    </w:rPr>
                    <w:t xml:space="preserve"> ? </w:t>
                  </w:r>
                </w:p>
                <w:p w:rsidR="00112C5E" w:rsidRPr="00112C5E" w:rsidRDefault="00112C5E" w:rsidP="00112C5E">
                  <w:pPr>
                    <w:spacing w:after="0"/>
                    <w:contextualSpacing/>
                    <w:rPr>
                      <w:sz w:val="22"/>
                      <w:szCs w:val="22"/>
                    </w:rPr>
                  </w:pPr>
                </w:p>
                <w:p w:rsidR="0091028C" w:rsidRPr="00112C5E" w:rsidRDefault="00112C5E" w:rsidP="00112C5E">
                  <w:pPr>
                    <w:spacing w:after="0"/>
                    <w:contextualSpacing/>
                    <w:rPr>
                      <w:sz w:val="22"/>
                      <w:szCs w:val="22"/>
                    </w:rPr>
                  </w:pPr>
                  <w:r w:rsidRPr="00112C5E">
                    <w:rPr>
                      <w:sz w:val="22"/>
                      <w:szCs w:val="22"/>
                    </w:rPr>
                    <w:t xml:space="preserve">S’appuyer sur les compétences spécifiques acquises du fait de sa situation particulière, pour les mettre au service d’une autre personne dans </w:t>
                  </w:r>
                  <w:r w:rsidR="00DB5623">
                    <w:rPr>
                      <w:sz w:val="22"/>
                      <w:szCs w:val="22"/>
                    </w:rPr>
                    <w:t xml:space="preserve">une </w:t>
                  </w:r>
                  <w:r w:rsidRPr="00112C5E">
                    <w:rPr>
                      <w:sz w:val="22"/>
                      <w:szCs w:val="22"/>
                    </w:rPr>
                    <w:t>situation semblable ou comparable mais moins expérimentée dans un domaine spécifique.</w:t>
                  </w:r>
                </w:p>
                <w:p w:rsidR="00112C5E" w:rsidRPr="00112C5E" w:rsidRDefault="00112C5E" w:rsidP="00112C5E">
                  <w:pPr>
                    <w:spacing w:after="0"/>
                    <w:contextualSpacing/>
                    <w:rPr>
                      <w:b/>
                      <w:sz w:val="22"/>
                      <w:szCs w:val="22"/>
                    </w:rPr>
                  </w:pPr>
                </w:p>
                <w:p w:rsidR="00112C5E" w:rsidRPr="00112C5E" w:rsidRDefault="00112C5E" w:rsidP="00112C5E">
                  <w:pPr>
                    <w:spacing w:after="0"/>
                    <w:contextualSpacing/>
                    <w:rPr>
                      <w:b/>
                      <w:sz w:val="24"/>
                      <w:szCs w:val="24"/>
                    </w:rPr>
                  </w:pPr>
                  <w:r w:rsidRPr="00112C5E">
                    <w:rPr>
                      <w:b/>
                      <w:sz w:val="24"/>
                      <w:szCs w:val="24"/>
                    </w:rPr>
                    <w:t xml:space="preserve">Les grandes lignes de votre témoignage lors du séminaire </w:t>
                  </w:r>
                </w:p>
                <w:p w:rsidR="00112C5E" w:rsidRPr="00112C5E" w:rsidRDefault="00112C5E" w:rsidP="00112C5E">
                  <w:pPr>
                    <w:spacing w:after="0"/>
                    <w:contextualSpacing/>
                    <w:rPr>
                      <w:sz w:val="22"/>
                      <w:szCs w:val="22"/>
                    </w:rPr>
                  </w:pPr>
                </w:p>
                <w:p w:rsidR="00112C5E" w:rsidRPr="00112C5E" w:rsidRDefault="00112C5E" w:rsidP="00112C5E">
                  <w:pPr>
                    <w:spacing w:after="0"/>
                    <w:contextualSpacing/>
                    <w:rPr>
                      <w:sz w:val="22"/>
                      <w:szCs w:val="22"/>
                    </w:rPr>
                  </w:pPr>
                  <w:r w:rsidRPr="00112C5E">
                    <w:rPr>
                      <w:sz w:val="22"/>
                      <w:szCs w:val="22"/>
                    </w:rPr>
                    <w:t>Ainsi au-delà de la dimension éthique et philosophique, le renforcement du pouvoir d’agir et le développement de l’accompagnement par les pairs sont des outils au service de la transformation portée par la démarche « Une réponse accompagnée pour tous ».</w:t>
                  </w:r>
                </w:p>
                <w:p w:rsidR="00112C5E" w:rsidRPr="00112C5E" w:rsidRDefault="00112C5E" w:rsidP="00112C5E">
                  <w:pPr>
                    <w:spacing w:after="0"/>
                    <w:contextualSpacing/>
                    <w:rPr>
                      <w:sz w:val="22"/>
                      <w:szCs w:val="22"/>
                    </w:rPr>
                  </w:pPr>
                </w:p>
                <w:p w:rsidR="00112C5E" w:rsidRPr="00112C5E" w:rsidRDefault="00112C5E" w:rsidP="00112C5E">
                  <w:pPr>
                    <w:spacing w:after="0"/>
                    <w:contextualSpacing/>
                    <w:rPr>
                      <w:sz w:val="22"/>
                      <w:szCs w:val="22"/>
                    </w:rPr>
                  </w:pPr>
                  <w:r w:rsidRPr="00112C5E">
                    <w:rPr>
                      <w:sz w:val="22"/>
                      <w:szCs w:val="22"/>
                    </w:rPr>
                    <w:t xml:space="preserve">Pour que les réponses plus modulaires et plus inclusives se développent, les personnes doivent oser aller vers le milieu ordinaire et être suffisamment outillés pour le faire. Les professionnels doivent donc les accompagner dans </w:t>
                  </w:r>
                  <w:r w:rsidR="00DB5623">
                    <w:rPr>
                      <w:sz w:val="22"/>
                      <w:szCs w:val="22"/>
                    </w:rPr>
                    <w:t>leurs</w:t>
                  </w:r>
                  <w:r w:rsidRPr="00112C5E">
                    <w:rPr>
                      <w:sz w:val="22"/>
                      <w:szCs w:val="22"/>
                    </w:rPr>
                    <w:t xml:space="preserve"> choix et dans leur</w:t>
                  </w:r>
                  <w:r w:rsidR="00DB5623">
                    <w:rPr>
                      <w:sz w:val="22"/>
                      <w:szCs w:val="22"/>
                    </w:rPr>
                    <w:t>s</w:t>
                  </w:r>
                  <w:r w:rsidRPr="00112C5E">
                    <w:rPr>
                      <w:sz w:val="22"/>
                      <w:szCs w:val="22"/>
                    </w:rPr>
                    <w:t xml:space="preserve"> réalisation</w:t>
                  </w:r>
                  <w:r w:rsidR="00DB5623">
                    <w:rPr>
                      <w:sz w:val="22"/>
                      <w:szCs w:val="22"/>
                    </w:rPr>
                    <w:t>s.</w:t>
                  </w:r>
                  <w:r w:rsidRPr="00112C5E">
                    <w:rPr>
                      <w:sz w:val="22"/>
                      <w:szCs w:val="22"/>
                    </w:rPr>
                    <w:t xml:space="preserve"> Cela implique l’évolution des représentations à tous les niveaux</w:t>
                  </w:r>
                  <w:r w:rsidR="00DB5623">
                    <w:rPr>
                      <w:sz w:val="22"/>
                      <w:szCs w:val="22"/>
                    </w:rPr>
                    <w:t xml:space="preserve"> </w:t>
                  </w:r>
                  <w:r w:rsidRPr="00112C5E">
                    <w:rPr>
                      <w:sz w:val="22"/>
                      <w:szCs w:val="22"/>
                    </w:rPr>
                    <w:t>: personnes elles-mêmes ; leurs proches ; professionnels qui les accompagnent.</w:t>
                  </w:r>
                </w:p>
                <w:p w:rsidR="00112C5E" w:rsidRPr="00112C5E" w:rsidRDefault="00112C5E" w:rsidP="00112C5E">
                  <w:pPr>
                    <w:spacing w:after="0"/>
                    <w:contextualSpacing/>
                    <w:rPr>
                      <w:sz w:val="22"/>
                      <w:szCs w:val="22"/>
                    </w:rPr>
                  </w:pPr>
                </w:p>
                <w:p w:rsidR="00112C5E" w:rsidRDefault="00112C5E" w:rsidP="00112C5E">
                  <w:pPr>
                    <w:spacing w:after="0"/>
                    <w:contextualSpacing/>
                    <w:rPr>
                      <w:sz w:val="22"/>
                      <w:szCs w:val="22"/>
                    </w:rPr>
                  </w:pPr>
                  <w:r w:rsidRPr="00112C5E">
                    <w:rPr>
                      <w:sz w:val="22"/>
                      <w:szCs w:val="22"/>
                    </w:rPr>
                    <w:t>La participation plus active des personnes</w:t>
                  </w:r>
                  <w:r w:rsidR="00DB5623">
                    <w:rPr>
                      <w:sz w:val="22"/>
                      <w:szCs w:val="22"/>
                    </w:rPr>
                    <w:t xml:space="preserve">, </w:t>
                  </w:r>
                  <w:r w:rsidRPr="00112C5E">
                    <w:rPr>
                      <w:sz w:val="22"/>
                      <w:szCs w:val="22"/>
                    </w:rPr>
                    <w:t>à la construction des projets d’accompagnement, que favorise l’accompagnement par les pairs permet de :</w:t>
                  </w:r>
                </w:p>
                <w:p w:rsidR="006F151C" w:rsidRPr="00112C5E" w:rsidRDefault="006F151C" w:rsidP="00112C5E">
                  <w:pPr>
                    <w:spacing w:after="0"/>
                    <w:contextualSpacing/>
                    <w:rPr>
                      <w:sz w:val="22"/>
                      <w:szCs w:val="22"/>
                    </w:rPr>
                  </w:pPr>
                </w:p>
                <w:p w:rsidR="00112C5E" w:rsidRDefault="00112C5E" w:rsidP="00112C5E">
                  <w:pPr>
                    <w:numPr>
                      <w:ilvl w:val="0"/>
                      <w:numId w:val="5"/>
                    </w:numPr>
                    <w:spacing w:after="0"/>
                    <w:contextualSpacing/>
                    <w:rPr>
                      <w:sz w:val="22"/>
                      <w:szCs w:val="22"/>
                    </w:rPr>
                  </w:pPr>
                  <w:r w:rsidRPr="00112C5E">
                    <w:rPr>
                      <w:sz w:val="22"/>
                      <w:szCs w:val="22"/>
                    </w:rPr>
                    <w:t>lever les blocages liés à l’épuisement des personnes face à la complexité de leur parcours ou au défaut de confiance vis-à-vis des professionnels</w:t>
                  </w:r>
                </w:p>
                <w:p w:rsidR="00112C5E" w:rsidRPr="00112C5E" w:rsidRDefault="00112C5E" w:rsidP="00112C5E">
                  <w:pPr>
                    <w:numPr>
                      <w:ilvl w:val="0"/>
                      <w:numId w:val="5"/>
                    </w:numPr>
                    <w:spacing w:after="0"/>
                    <w:contextualSpacing/>
                    <w:rPr>
                      <w:sz w:val="22"/>
                      <w:szCs w:val="22"/>
                    </w:rPr>
                  </w:pPr>
                  <w:r w:rsidRPr="00112C5E">
                    <w:rPr>
                      <w:sz w:val="22"/>
                      <w:szCs w:val="22"/>
                    </w:rPr>
                    <w:t>favoriser la continuité des parcours par la meilleure prise en compte des aspirations et contraintes de la personne et l’adhésion au projet d’accompagnement</w:t>
                  </w:r>
                </w:p>
                <w:p w:rsidR="00112C5E" w:rsidRPr="00112C5E" w:rsidRDefault="00112C5E" w:rsidP="00112C5E">
                  <w:pPr>
                    <w:numPr>
                      <w:ilvl w:val="0"/>
                      <w:numId w:val="5"/>
                    </w:numPr>
                    <w:spacing w:after="0"/>
                    <w:contextualSpacing/>
                    <w:rPr>
                      <w:sz w:val="22"/>
                      <w:szCs w:val="22"/>
                    </w:rPr>
                  </w:pPr>
                  <w:r w:rsidRPr="00112C5E">
                    <w:rPr>
                      <w:sz w:val="22"/>
                      <w:szCs w:val="22"/>
                    </w:rPr>
                    <w:t>accompagner les personnes vers des projets de vie plus inclusifs et outiller les professionnels pour y répondre</w:t>
                  </w:r>
                </w:p>
                <w:p w:rsidR="00112C5E" w:rsidRPr="00112C5E" w:rsidRDefault="00112C5E" w:rsidP="00112C5E">
                  <w:pPr>
                    <w:spacing w:after="0"/>
                    <w:ind w:left="720"/>
                    <w:contextualSpacing/>
                    <w:rPr>
                      <w:sz w:val="22"/>
                      <w:szCs w:val="22"/>
                    </w:rPr>
                  </w:pPr>
                </w:p>
                <w:p w:rsidR="0091028C" w:rsidRPr="0091028C" w:rsidRDefault="0091028C" w:rsidP="0091028C">
                  <w:pPr>
                    <w:spacing w:after="0"/>
                    <w:ind w:left="720"/>
                    <w:contextualSpacing/>
                    <w:jc w:val="both"/>
                  </w:pPr>
                </w:p>
              </w:txbxContent>
            </v:textbox>
          </v:rect>
        </w:pict>
      </w:r>
      <w:r>
        <w:rPr>
          <w:rFonts w:ascii="Times New Roman" w:hAnsi="Times New Roman"/>
          <w:color w:val="auto"/>
          <w:kern w:val="0"/>
          <w:sz w:val="24"/>
          <w:szCs w:val="24"/>
        </w:rPr>
        <w:pict>
          <v:rect id="_x0000_s1046" style="position:absolute;margin-left:338.55pt;margin-top:2.3pt;width:345.05pt;height:523.8pt;z-index:251656191;visibility:visible;mso-wrap-edited:f;mso-wrap-distance-left:2.88pt;mso-wrap-distance-top:2.88pt;mso-wrap-distance-right:2.88pt;mso-wrap-distance-bottom:2.88pt" strokeweight=".25pt" insetpen="t" o:cliptowrap="t">
            <v:shadow color="#ccc"/>
            <v:textbox inset="2.88pt,2.88pt,2.88pt,2.88pt">
              <w:txbxContent>
                <w:p w:rsidR="0091028C" w:rsidRDefault="0091028C"/>
                <w:p w:rsidR="00112C5E" w:rsidRDefault="00112C5E" w:rsidP="00112C5E"/>
                <w:p w:rsidR="00112C5E" w:rsidRPr="00112C5E" w:rsidRDefault="00112C5E" w:rsidP="00112C5E">
                  <w:pPr>
                    <w:spacing w:after="0"/>
                    <w:contextualSpacing/>
                    <w:rPr>
                      <w:b/>
                      <w:sz w:val="24"/>
                      <w:szCs w:val="24"/>
                    </w:rPr>
                  </w:pPr>
                  <w:r w:rsidRPr="00112C5E">
                    <w:rPr>
                      <w:b/>
                      <w:sz w:val="24"/>
                      <w:szCs w:val="24"/>
                    </w:rPr>
                    <w:t xml:space="preserve">Comment développer, développez-vous l’accompagnement par les pairs ? Quelles actions phares avez-vous mis en œuvre ? </w:t>
                  </w:r>
                  <w:proofErr w:type="gramStart"/>
                  <w:r w:rsidRPr="00112C5E">
                    <w:rPr>
                      <w:b/>
                      <w:sz w:val="24"/>
                      <w:szCs w:val="24"/>
                    </w:rPr>
                    <w:t>préconisez-vous</w:t>
                  </w:r>
                  <w:proofErr w:type="gramEnd"/>
                  <w:r w:rsidRPr="00112C5E">
                    <w:rPr>
                      <w:b/>
                      <w:sz w:val="24"/>
                      <w:szCs w:val="24"/>
                    </w:rPr>
                    <w:t xml:space="preserve"> (au niveau local, national) ? </w:t>
                  </w:r>
                </w:p>
                <w:p w:rsidR="00112C5E" w:rsidRPr="00112C5E" w:rsidRDefault="00112C5E" w:rsidP="00112C5E">
                  <w:pPr>
                    <w:spacing w:after="0"/>
                    <w:contextualSpacing/>
                    <w:rPr>
                      <w:sz w:val="24"/>
                      <w:szCs w:val="24"/>
                    </w:rPr>
                  </w:pPr>
                </w:p>
                <w:p w:rsidR="00112C5E" w:rsidRPr="00112C5E" w:rsidRDefault="00112C5E" w:rsidP="00112C5E">
                  <w:pPr>
                    <w:spacing w:after="0"/>
                    <w:contextualSpacing/>
                    <w:rPr>
                      <w:sz w:val="22"/>
                      <w:szCs w:val="22"/>
                    </w:rPr>
                  </w:pPr>
                  <w:r w:rsidRPr="00112C5E">
                    <w:rPr>
                      <w:sz w:val="22"/>
                      <w:szCs w:val="22"/>
                    </w:rPr>
                    <w:t>Au niveau local, il s’agit de capitaliser sur l’expérience des départements qui ont porté une démarche structurée autour des actions de l’axe 3, autour des axes suivants :</w:t>
                  </w:r>
                </w:p>
                <w:p w:rsidR="00112C5E" w:rsidRPr="00112C5E" w:rsidRDefault="00112C5E" w:rsidP="00112C5E">
                  <w:pPr>
                    <w:numPr>
                      <w:ilvl w:val="0"/>
                      <w:numId w:val="8"/>
                    </w:numPr>
                    <w:spacing w:after="0"/>
                    <w:contextualSpacing/>
                    <w:rPr>
                      <w:sz w:val="22"/>
                      <w:szCs w:val="22"/>
                    </w:rPr>
                  </w:pPr>
                  <w:r w:rsidRPr="00112C5E">
                    <w:rPr>
                      <w:sz w:val="22"/>
                      <w:szCs w:val="22"/>
                    </w:rPr>
                    <w:t>Recensement des actions déjà conduites sur le territoire et des points d’appui existants</w:t>
                  </w:r>
                  <w:r w:rsidR="00B35E5E">
                    <w:rPr>
                      <w:sz w:val="22"/>
                      <w:szCs w:val="22"/>
                    </w:rPr>
                    <w:t>, c</w:t>
                  </w:r>
                  <w:r w:rsidRPr="00112C5E">
                    <w:rPr>
                      <w:sz w:val="22"/>
                      <w:szCs w:val="22"/>
                    </w:rPr>
                    <w:t xml:space="preserve">onstitution de réseaux de pairs formés à l’échelle d’un territoire </w:t>
                  </w:r>
                </w:p>
                <w:p w:rsidR="00112C5E" w:rsidRPr="00112C5E" w:rsidRDefault="00112C5E" w:rsidP="00112C5E">
                  <w:pPr>
                    <w:numPr>
                      <w:ilvl w:val="0"/>
                      <w:numId w:val="8"/>
                    </w:numPr>
                    <w:spacing w:after="0"/>
                    <w:contextualSpacing/>
                    <w:rPr>
                      <w:sz w:val="22"/>
                      <w:szCs w:val="22"/>
                    </w:rPr>
                  </w:pPr>
                  <w:r w:rsidRPr="00112C5E">
                    <w:rPr>
                      <w:sz w:val="22"/>
                      <w:szCs w:val="22"/>
                    </w:rPr>
                    <w:t xml:space="preserve">Mobilisation des pairs en appui aux démarches au niveau de la MDPH et dans l’accompagnement des personnes en ESMS </w:t>
                  </w:r>
                </w:p>
                <w:p w:rsidR="00112C5E" w:rsidRPr="00112C5E" w:rsidRDefault="00112C5E" w:rsidP="00112C5E">
                  <w:pPr>
                    <w:spacing w:after="0"/>
                    <w:contextualSpacing/>
                    <w:rPr>
                      <w:sz w:val="22"/>
                      <w:szCs w:val="22"/>
                    </w:rPr>
                  </w:pPr>
                </w:p>
                <w:p w:rsidR="00112C5E" w:rsidRPr="00112C5E" w:rsidRDefault="00112C5E" w:rsidP="00112C5E">
                  <w:pPr>
                    <w:spacing w:after="0"/>
                    <w:contextualSpacing/>
                    <w:rPr>
                      <w:sz w:val="22"/>
                      <w:szCs w:val="22"/>
                    </w:rPr>
                  </w:pPr>
                  <w:r w:rsidRPr="00112C5E">
                    <w:rPr>
                      <w:sz w:val="22"/>
                      <w:szCs w:val="22"/>
                    </w:rPr>
                    <w:t xml:space="preserve">Au niveau national les actions suivantes sont prévues : </w:t>
                  </w:r>
                </w:p>
                <w:p w:rsidR="00112C5E" w:rsidRPr="00112C5E" w:rsidRDefault="00112C5E" w:rsidP="00112C5E">
                  <w:pPr>
                    <w:numPr>
                      <w:ilvl w:val="0"/>
                      <w:numId w:val="9"/>
                    </w:numPr>
                    <w:spacing w:after="0"/>
                    <w:contextualSpacing/>
                    <w:rPr>
                      <w:sz w:val="22"/>
                      <w:szCs w:val="22"/>
                    </w:rPr>
                  </w:pPr>
                  <w:r w:rsidRPr="00112C5E">
                    <w:rPr>
                      <w:sz w:val="22"/>
                      <w:szCs w:val="22"/>
                    </w:rPr>
                    <w:t>Capitalisation des initiatives visant le renforcement de la participation des personnes et le développement de l’accompagnement et de la formation par les pairs (cf. mise à jour du rapport de capitalisation prévue cet été)</w:t>
                  </w:r>
                </w:p>
                <w:p w:rsidR="00112C5E" w:rsidRPr="00112C5E" w:rsidRDefault="00112C5E" w:rsidP="00112C5E">
                  <w:pPr>
                    <w:numPr>
                      <w:ilvl w:val="0"/>
                      <w:numId w:val="9"/>
                    </w:numPr>
                    <w:spacing w:after="0"/>
                    <w:contextualSpacing/>
                    <w:rPr>
                      <w:sz w:val="22"/>
                      <w:szCs w:val="22"/>
                    </w:rPr>
                  </w:pPr>
                  <w:r w:rsidRPr="00112C5E">
                    <w:rPr>
                      <w:sz w:val="22"/>
                      <w:szCs w:val="22"/>
                    </w:rPr>
                    <w:t xml:space="preserve">Incitation des acteurs de la formation à </w:t>
                  </w:r>
                  <w:bookmarkStart w:id="0" w:name="_GoBack"/>
                  <w:bookmarkEnd w:id="0"/>
                  <w:r w:rsidRPr="00112C5E">
                    <w:rPr>
                      <w:sz w:val="22"/>
                      <w:szCs w:val="22"/>
                    </w:rPr>
                    <w:t xml:space="preserve">intégrer l’intervention des personnes accompagnées ou l’ayant été aux formations initiales et continues </w:t>
                  </w:r>
                </w:p>
                <w:p w:rsidR="00112C5E" w:rsidRPr="00112C5E" w:rsidRDefault="00112C5E" w:rsidP="00112C5E">
                  <w:pPr>
                    <w:numPr>
                      <w:ilvl w:val="0"/>
                      <w:numId w:val="9"/>
                    </w:numPr>
                    <w:spacing w:after="0"/>
                    <w:contextualSpacing/>
                    <w:rPr>
                      <w:sz w:val="22"/>
                      <w:szCs w:val="22"/>
                    </w:rPr>
                  </w:pPr>
                  <w:r w:rsidRPr="00112C5E">
                    <w:rPr>
                      <w:sz w:val="22"/>
                      <w:szCs w:val="22"/>
                    </w:rPr>
                    <w:t>Structuration de la formation de pairs</w:t>
                  </w:r>
                </w:p>
                <w:p w:rsidR="00112C5E" w:rsidRPr="00112C5E" w:rsidRDefault="00112C5E" w:rsidP="00112C5E">
                  <w:pPr>
                    <w:numPr>
                      <w:ilvl w:val="0"/>
                      <w:numId w:val="9"/>
                    </w:numPr>
                    <w:spacing w:after="0"/>
                    <w:contextualSpacing/>
                    <w:rPr>
                      <w:sz w:val="22"/>
                      <w:szCs w:val="22"/>
                    </w:rPr>
                  </w:pPr>
                  <w:r w:rsidRPr="00112C5E">
                    <w:rPr>
                      <w:sz w:val="22"/>
                      <w:szCs w:val="22"/>
                    </w:rPr>
                    <w:t xml:space="preserve">Soutien à la mise en réseau des pairs </w:t>
                  </w:r>
                </w:p>
                <w:p w:rsidR="00112C5E" w:rsidRPr="00112C5E" w:rsidRDefault="00112C5E" w:rsidP="00112C5E">
                  <w:pPr>
                    <w:numPr>
                      <w:ilvl w:val="0"/>
                      <w:numId w:val="9"/>
                    </w:numPr>
                    <w:spacing w:after="0"/>
                    <w:contextualSpacing/>
                    <w:rPr>
                      <w:sz w:val="22"/>
                      <w:szCs w:val="22"/>
                    </w:rPr>
                  </w:pPr>
                  <w:r w:rsidRPr="00112C5E">
                    <w:rPr>
                      <w:sz w:val="22"/>
                      <w:szCs w:val="22"/>
                    </w:rPr>
                    <w:t>Mise en place d’un dispositif de recueil de l’expérience vécue en établissement et services</w:t>
                  </w:r>
                </w:p>
                <w:p w:rsidR="004F18CB" w:rsidRPr="004F18CB" w:rsidRDefault="004F18CB" w:rsidP="00112C5E">
                  <w:pPr>
                    <w:spacing w:after="0"/>
                    <w:contextualSpacing/>
                    <w:rPr>
                      <w:b/>
                      <w:sz w:val="14"/>
                      <w:szCs w:val="14"/>
                    </w:rPr>
                  </w:pPr>
                </w:p>
                <w:p w:rsidR="00112C5E" w:rsidRPr="00112C5E" w:rsidRDefault="00112C5E" w:rsidP="00112C5E">
                  <w:pPr>
                    <w:spacing w:after="0"/>
                    <w:contextualSpacing/>
                    <w:rPr>
                      <w:b/>
                      <w:sz w:val="24"/>
                      <w:szCs w:val="24"/>
                    </w:rPr>
                  </w:pPr>
                  <w:r>
                    <w:rPr>
                      <w:b/>
                      <w:sz w:val="24"/>
                      <w:szCs w:val="24"/>
                    </w:rPr>
                    <w:t>Références bibliographiques</w:t>
                  </w:r>
                </w:p>
                <w:p w:rsidR="00112C5E" w:rsidRPr="004F18CB" w:rsidRDefault="00112C5E" w:rsidP="00112C5E">
                  <w:pPr>
                    <w:spacing w:after="0"/>
                    <w:contextualSpacing/>
                    <w:rPr>
                      <w:rFonts w:ascii="Calibri" w:eastAsia="Calibri" w:hAnsi="Calibri" w:cs="Times New Roman"/>
                      <w:kern w:val="0"/>
                      <w:sz w:val="14"/>
                      <w:szCs w:val="14"/>
                      <w:lang w:eastAsia="en-US"/>
                    </w:rPr>
                  </w:pPr>
                </w:p>
                <w:p w:rsidR="004F18CB" w:rsidRDefault="004F18CB" w:rsidP="004F18CB">
                  <w:pPr>
                    <w:spacing w:after="0"/>
                    <w:contextualSpacing/>
                    <w:rPr>
                      <w:sz w:val="22"/>
                      <w:szCs w:val="22"/>
                    </w:rPr>
                  </w:pPr>
                  <w:r>
                    <w:rPr>
                      <w:sz w:val="22"/>
                      <w:szCs w:val="22"/>
                    </w:rPr>
                    <w:t>- De</w:t>
                  </w:r>
                  <w:r w:rsidR="00112C5E" w:rsidRPr="00112C5E">
                    <w:rPr>
                      <w:sz w:val="22"/>
                      <w:szCs w:val="22"/>
                    </w:rPr>
                    <w:t xml:space="preserve">nis </w:t>
                  </w:r>
                  <w:proofErr w:type="spellStart"/>
                  <w:r w:rsidR="00112C5E" w:rsidRPr="00112C5E">
                    <w:rPr>
                      <w:sz w:val="22"/>
                      <w:szCs w:val="22"/>
                    </w:rPr>
                    <w:t>Piveteau</w:t>
                  </w:r>
                  <w:proofErr w:type="spellEnd"/>
                  <w:r w:rsidR="00112C5E" w:rsidRPr="00112C5E">
                    <w:rPr>
                      <w:sz w:val="22"/>
                      <w:szCs w:val="22"/>
                    </w:rPr>
                    <w:t xml:space="preserve"> et </w:t>
                  </w:r>
                  <w:proofErr w:type="gramStart"/>
                  <w:r w:rsidR="00112C5E" w:rsidRPr="00112C5E">
                    <w:rPr>
                      <w:sz w:val="22"/>
                      <w:szCs w:val="22"/>
                    </w:rPr>
                    <w:t>al.,</w:t>
                  </w:r>
                  <w:proofErr w:type="gramEnd"/>
                  <w:r w:rsidR="00112C5E" w:rsidRPr="00112C5E">
                    <w:rPr>
                      <w:sz w:val="22"/>
                      <w:szCs w:val="22"/>
                    </w:rPr>
                    <w:t xml:space="preserve"> Zéro sans solution : un devoir collectif de permettre un parcours de vie sans rupture, pour les personnes en situation de handicap et pour leurs proches. Paris, Ministère des affaires sociales et de la santé : </w:t>
                  </w:r>
                  <w:hyperlink r:id="rId6" w:history="1">
                    <w:r w:rsidR="00112C5E" w:rsidRPr="004F18CB">
                      <w:t>https://solidarites-sante.gouv.fr/IMG/pdf/Rapport_Zero_sans_solution_.pdf</w:t>
                    </w:r>
                  </w:hyperlink>
                </w:p>
                <w:p w:rsidR="00112C5E" w:rsidRPr="004F18CB" w:rsidRDefault="004F18CB" w:rsidP="004F18CB">
                  <w:pPr>
                    <w:spacing w:after="0"/>
                    <w:contextualSpacing/>
                    <w:rPr>
                      <w:sz w:val="22"/>
                      <w:szCs w:val="22"/>
                    </w:rPr>
                  </w:pPr>
                  <w:r>
                    <w:rPr>
                      <w:sz w:val="22"/>
                      <w:szCs w:val="22"/>
                    </w:rPr>
                    <w:t xml:space="preserve">- </w:t>
                  </w:r>
                  <w:r w:rsidR="00112C5E" w:rsidRPr="00112C5E">
                    <w:rPr>
                      <w:sz w:val="22"/>
                      <w:szCs w:val="22"/>
                    </w:rPr>
                    <w:t xml:space="preserve">Marina </w:t>
                  </w:r>
                  <w:proofErr w:type="spellStart"/>
                  <w:r w:rsidR="00112C5E" w:rsidRPr="00112C5E">
                    <w:rPr>
                      <w:sz w:val="22"/>
                      <w:szCs w:val="22"/>
                    </w:rPr>
                    <w:t>Drobi</w:t>
                  </w:r>
                  <w:proofErr w:type="spellEnd"/>
                  <w:r w:rsidR="00112C5E" w:rsidRPr="00112C5E">
                    <w:rPr>
                      <w:sz w:val="22"/>
                      <w:szCs w:val="22"/>
                    </w:rPr>
                    <w:t>, « Une réponse accompagnée pour tous : une démarche qui met le pouvoir d’agir au service de la continuité des parcours », in « Pratiques en sant</w:t>
                  </w:r>
                  <w:r w:rsidR="00112C5E" w:rsidRPr="00112C5E">
                    <w:rPr>
                      <w:rFonts w:hint="eastAsia"/>
                      <w:sz w:val="22"/>
                      <w:szCs w:val="22"/>
                    </w:rPr>
                    <w:t>é</w:t>
                  </w:r>
                  <w:r w:rsidR="00112C5E" w:rsidRPr="00112C5E">
                    <w:rPr>
                      <w:sz w:val="22"/>
                      <w:szCs w:val="22"/>
                    </w:rPr>
                    <w:t xml:space="preserve"> mentale </w:t>
                  </w:r>
                  <w:r w:rsidR="00112C5E" w:rsidRPr="00112C5E">
                    <w:rPr>
                      <w:rFonts w:hint="eastAsia"/>
                      <w:sz w:val="22"/>
                      <w:szCs w:val="22"/>
                    </w:rPr>
                    <w:t>»</w:t>
                  </w:r>
                  <w:r w:rsidR="00112C5E" w:rsidRPr="00112C5E">
                    <w:rPr>
                      <w:sz w:val="22"/>
                      <w:szCs w:val="22"/>
                    </w:rPr>
                    <w:t>, n°2019/2, pp. 27-35 :</w:t>
                  </w:r>
                  <w:r w:rsidR="00112C5E" w:rsidRPr="004F18CB">
                    <w:rPr>
                      <w:sz w:val="22"/>
                      <w:szCs w:val="22"/>
                    </w:rPr>
                    <w:t xml:space="preserve"> </w:t>
                  </w:r>
                  <w:hyperlink r:id="rId7" w:history="1">
                    <w:r w:rsidR="00112C5E" w:rsidRPr="004F18CB">
                      <w:rPr>
                        <w:sz w:val="22"/>
                        <w:szCs w:val="22"/>
                      </w:rPr>
                      <w:t>https://www.cairn.info/revue-pratique-en-sante-mentale-2019-2-page-27.htm</w:t>
                    </w:r>
                  </w:hyperlink>
                  <w:r w:rsidR="00112C5E" w:rsidRPr="004F18CB">
                    <w:rPr>
                      <w:sz w:val="22"/>
                      <w:szCs w:val="22"/>
                    </w:rPr>
                    <w:t xml:space="preserve">  </w:t>
                  </w:r>
                </w:p>
                <w:p w:rsidR="00112C5E" w:rsidRPr="004F18CB" w:rsidRDefault="00112C5E" w:rsidP="00112C5E">
                  <w:pPr>
                    <w:rPr>
                      <w:sz w:val="12"/>
                      <w:szCs w:val="12"/>
                    </w:rPr>
                  </w:pPr>
                </w:p>
                <w:p w:rsidR="008A2328" w:rsidRDefault="004F18CB" w:rsidP="004F18CB">
                  <w:pPr>
                    <w:spacing w:after="0"/>
                    <w:contextualSpacing/>
                    <w:jc w:val="center"/>
                    <w:rPr>
                      <w:sz w:val="22"/>
                      <w:szCs w:val="22"/>
                    </w:rPr>
                  </w:pPr>
                  <w:r w:rsidRPr="004F18CB">
                    <w:rPr>
                      <w:sz w:val="22"/>
                      <w:szCs w:val="22"/>
                    </w:rPr>
                    <w:t xml:space="preserve">Marina </w:t>
                  </w:r>
                  <w:proofErr w:type="spellStart"/>
                  <w:r w:rsidRPr="004F18CB">
                    <w:rPr>
                      <w:sz w:val="22"/>
                      <w:szCs w:val="22"/>
                    </w:rPr>
                    <w:t>Drobi</w:t>
                  </w:r>
                  <w:proofErr w:type="spellEnd"/>
                  <w:r w:rsidRPr="004F18CB">
                    <w:rPr>
                      <w:sz w:val="22"/>
                      <w:szCs w:val="22"/>
                    </w:rPr>
                    <w:t xml:space="preserve"> - chargée de coordination nationale de la démarche </w:t>
                  </w:r>
                </w:p>
                <w:p w:rsidR="004F18CB" w:rsidRPr="004F18CB" w:rsidRDefault="004F18CB" w:rsidP="004F18CB">
                  <w:pPr>
                    <w:spacing w:after="0"/>
                    <w:contextualSpacing/>
                    <w:jc w:val="center"/>
                    <w:rPr>
                      <w:sz w:val="22"/>
                      <w:szCs w:val="22"/>
                    </w:rPr>
                  </w:pPr>
                  <w:r w:rsidRPr="004F18CB">
                    <w:rPr>
                      <w:sz w:val="22"/>
                      <w:szCs w:val="22"/>
                    </w:rPr>
                    <w:t>« Une réponse accompagnée pour tous »</w:t>
                  </w:r>
                </w:p>
                <w:p w:rsidR="00112C5E" w:rsidRPr="00112C5E" w:rsidRDefault="00112C5E" w:rsidP="00112C5E">
                  <w:pPr>
                    <w:rPr>
                      <w:sz w:val="24"/>
                      <w:szCs w:val="24"/>
                    </w:rPr>
                  </w:pPr>
                </w:p>
                <w:p w:rsidR="0091028C" w:rsidRDefault="0091028C"/>
                <w:p w:rsidR="0091028C" w:rsidRDefault="0091028C" w:rsidP="003507AD">
                  <w:pPr>
                    <w:spacing w:after="0"/>
                    <w:contextualSpacing/>
                  </w:pPr>
                </w:p>
                <w:p w:rsidR="00112C5E" w:rsidRDefault="00112C5E" w:rsidP="003507AD">
                  <w:pPr>
                    <w:spacing w:after="0"/>
                    <w:contextualSpacing/>
                  </w:pPr>
                </w:p>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rsidP="0091028C">
                  <w:pPr>
                    <w:pStyle w:val="msoaccenttext"/>
                    <w:widowControl w:val="0"/>
                    <w:rPr>
                      <w:b w:val="0"/>
                      <w:bCs w:val="0"/>
                      <w:i/>
                      <w:iCs/>
                    </w:rPr>
                  </w:pPr>
                  <w:r>
                    <w:rPr>
                      <w:b w:val="0"/>
                      <w:bCs w:val="0"/>
                      <w:i/>
                      <w:iCs/>
                    </w:rPr>
                    <w:t>Docteur en sociologie et maître de conférences à l’Université Rennes 2</w:t>
                  </w:r>
                  <w:r>
                    <w:rPr>
                      <w:rFonts w:ascii="Times New Roman" w:hAnsi="Times New Roman"/>
                      <w:b w:val="0"/>
                      <w:bCs w:val="0"/>
                      <w:i/>
                      <w:iCs/>
                      <w:sz w:val="24"/>
                      <w:szCs w:val="24"/>
                    </w:rPr>
                    <w:t xml:space="preserve"> </w:t>
                  </w:r>
                </w:p>
                <w:p w:rsidR="0091028C" w:rsidRDefault="0091028C" w:rsidP="0091028C">
                  <w:r>
                    <w:t> </w:t>
                  </w:r>
                </w:p>
                <w:p w:rsidR="0091028C" w:rsidRDefault="0091028C"/>
              </w:txbxContent>
            </v:textbox>
          </v:rect>
        </w:pict>
      </w:r>
      <w:r>
        <w:rPr>
          <w:rFonts w:ascii="Times New Roman" w:hAnsi="Times New Roman"/>
          <w:noProof/>
          <w:color w:val="auto"/>
          <w:kern w:val="0"/>
          <w:sz w:val="24"/>
          <w:szCs w:val="24"/>
        </w:rPr>
        <w:pict>
          <v:rect id="_x0000_s1042" style="position:absolute;margin-left:363.4pt;margin-top:-46.65pt;width:272.85pt;height:77.75pt;z-index:251667456;visibility:visible;mso-wrap-edited:f;mso-wrap-distance-left:2.88pt;mso-wrap-distance-top:2.88pt;mso-wrap-distance-right:2.88pt;mso-wrap-distance-bottom:2.88pt" fillcolor="#548dd4" stroked="f" strokeweight="0" insetpen="t" o:cliptowrap="t">
            <v:shadow color="#ccc"/>
            <v:textbox inset="2.88pt,2.88pt,2.88pt,2.88pt"/>
          </v:rect>
        </w:pict>
      </w:r>
      <w:r>
        <w:rPr>
          <w:rFonts w:ascii="Times New Roman" w:hAnsi="Times New Roman"/>
          <w:noProof/>
          <w:color w:val="auto"/>
          <w:kern w:val="0"/>
          <w:sz w:val="24"/>
          <w:szCs w:val="24"/>
        </w:rPr>
        <w:pict>
          <v:shape id="_x0000_s1041" type="#_x0000_t202" style="position:absolute;margin-left:14.95pt;margin-top:-39.15pt;width:262.05pt;height:66.5pt;z-index:251666432;visibility:visible;mso-wrap-edited:f;mso-wrap-distance-left:2.88pt;mso-wrap-distance-top:2.88pt;mso-wrap-distance-right:2.88pt;mso-wrap-distance-bottom:2.88pt" o:regroupid="1" fillcolor="#548dd4" stroked="f" strokeweight="0" insetpen="t" o:cliptowrap="t">
            <v:shadow color="#ccc"/>
            <v:textbox style="mso-next-textbox:#_x0000_s1041;mso-column-margin:5.7pt" inset="2.85pt,2.85pt,2.85pt,2.85pt">
              <w:txbxContent>
                <w:p w:rsidR="00B27ACB" w:rsidRDefault="00B27ACB" w:rsidP="00B27ACB">
                  <w:pPr>
                    <w:pStyle w:val="Titre3"/>
                    <w:spacing w:after="0"/>
                  </w:pPr>
                  <w:r>
                    <w:t xml:space="preserve">Intervention de </w:t>
                  </w:r>
                </w:p>
                <w:p w:rsidR="00B27ACB" w:rsidRDefault="00B27ACB" w:rsidP="00B27ACB">
                  <w:pPr>
                    <w:pStyle w:val="Titre3"/>
                    <w:spacing w:after="0"/>
                  </w:pPr>
                  <w:r>
                    <w:t>M</w:t>
                  </w:r>
                  <w:r w:rsidR="00D95A9A">
                    <w:t xml:space="preserve">me </w:t>
                  </w:r>
                  <w:proofErr w:type="spellStart"/>
                  <w:r w:rsidR="00112C5E">
                    <w:t>Drobi</w:t>
                  </w:r>
                  <w:proofErr w:type="spellEnd"/>
                </w:p>
                <w:p w:rsidR="00B27ACB" w:rsidRDefault="00B27ACB" w:rsidP="00B27ACB">
                  <w:pPr>
                    <w:pStyle w:val="Titre3"/>
                    <w:spacing w:after="0"/>
                  </w:pPr>
                </w:p>
                <w:p w:rsidR="00216D9F" w:rsidRDefault="00112C5E" w:rsidP="00112C5E">
                  <w:pPr>
                    <w:pStyle w:val="Titre3"/>
                    <w:spacing w:after="0"/>
                  </w:pPr>
                  <w:r w:rsidRPr="00112C5E">
                    <w:t>Comité interministériel du handicap</w:t>
                  </w:r>
                </w:p>
              </w:txbxContent>
            </v:textbox>
          </v:shape>
        </w:pict>
      </w:r>
      <w:r>
        <w:rPr>
          <w:rFonts w:ascii="Times New Roman" w:hAnsi="Times New Roman"/>
          <w:noProof/>
          <w:color w:val="auto"/>
          <w:kern w:val="0"/>
          <w:sz w:val="24"/>
          <w:szCs w:val="24"/>
        </w:rPr>
        <w:pict>
          <v:rect id="_x0000_s1040" style="position:absolute;margin-left:9.55pt;margin-top:-43.65pt;width:272.85pt;height:74.75pt;z-index:251665408;visibility:visible;mso-wrap-edited:f;mso-wrap-distance-left:2.88pt;mso-wrap-distance-top:2.88pt;mso-wrap-distance-right:2.88pt;mso-wrap-distance-bottom:2.88pt" o:regroupid="1" fillcolor="#548dd4" stroked="f" strokeweight="0" insetpen="t" o:cliptowrap="t">
            <v:shadow color="#ccc"/>
            <v:textbox inset="2.88pt,2.88pt,2.88pt,2.88pt"/>
          </v:rect>
        </w:pict>
      </w:r>
    </w:p>
    <w:p w:rsidR="0091028C" w:rsidRDefault="0091028C" w:rsidP="005A4E4E"/>
    <w:p w:rsidR="00AD2898" w:rsidRPr="005A4E4E" w:rsidRDefault="00B35E5E" w:rsidP="005A4E4E">
      <w:r>
        <w:rPr>
          <w:rFonts w:ascii="Times New Roman" w:hAnsi="Times New Roman"/>
          <w:noProof/>
          <w:color w:val="auto"/>
          <w:kern w:val="0"/>
          <w:sz w:val="24"/>
          <w:szCs w:val="24"/>
        </w:rPr>
        <w:pict>
          <v:shapetype id="_x0000_t32" coordsize="21600,21600" o:spt="32" o:oned="t" path="m,l21600,21600e" filled="f">
            <v:path arrowok="t" fillok="f" o:connecttype="none"/>
            <o:lock v:ext="edit" shapetype="t"/>
          </v:shapetype>
          <v:shape id="_x0000_s1044" type="#_x0000_t32" style="position:absolute;margin-left:338.55pt;margin-top:462.1pt;width:345.05pt;height:0;z-index:251669504" o:connectortype="straight"/>
        </w:pict>
      </w:r>
    </w:p>
    <w:sectPr w:rsidR="00AD2898" w:rsidRPr="005A4E4E" w:rsidSect="005A4E4E">
      <w:type w:val="continuous"/>
      <w:pgSz w:w="15840" w:h="12240" w:orient="landscape"/>
      <w:pgMar w:top="1418" w:right="1418" w:bottom="1418" w:left="1418"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E17"/>
    <w:multiLevelType w:val="hybridMultilevel"/>
    <w:tmpl w:val="60727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650D7"/>
    <w:multiLevelType w:val="hybridMultilevel"/>
    <w:tmpl w:val="E52C5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7F4766"/>
    <w:multiLevelType w:val="hybridMultilevel"/>
    <w:tmpl w:val="A98CD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17731"/>
    <w:multiLevelType w:val="hybridMultilevel"/>
    <w:tmpl w:val="A36AA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C0796A"/>
    <w:multiLevelType w:val="hybridMultilevel"/>
    <w:tmpl w:val="5AEA2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FA17B9"/>
    <w:multiLevelType w:val="hybridMultilevel"/>
    <w:tmpl w:val="7CF2DB36"/>
    <w:lvl w:ilvl="0" w:tplc="5EB6F56C">
      <w:start w:val="1"/>
      <w:numFmt w:val="bullet"/>
      <w:lvlText w:val=""/>
      <w:lvlJc w:val="left"/>
      <w:pPr>
        <w:tabs>
          <w:tab w:val="num" w:pos="720"/>
        </w:tabs>
        <w:ind w:left="720" w:hanging="360"/>
      </w:pPr>
      <w:rPr>
        <w:rFonts w:ascii="Wingdings" w:hAnsi="Wingdings" w:hint="default"/>
      </w:rPr>
    </w:lvl>
    <w:lvl w:ilvl="1" w:tplc="D2244BCA">
      <w:start w:val="1"/>
      <w:numFmt w:val="bullet"/>
      <w:lvlText w:val=""/>
      <w:lvlJc w:val="left"/>
      <w:pPr>
        <w:tabs>
          <w:tab w:val="num" w:pos="1440"/>
        </w:tabs>
        <w:ind w:left="1440" w:hanging="360"/>
      </w:pPr>
      <w:rPr>
        <w:rFonts w:ascii="Wingdings" w:hAnsi="Wingdings" w:hint="default"/>
      </w:rPr>
    </w:lvl>
    <w:lvl w:ilvl="2" w:tplc="012075D6">
      <w:start w:val="652"/>
      <w:numFmt w:val="bullet"/>
      <w:lvlText w:val=""/>
      <w:lvlJc w:val="left"/>
      <w:pPr>
        <w:tabs>
          <w:tab w:val="num" w:pos="2160"/>
        </w:tabs>
        <w:ind w:left="2160" w:hanging="360"/>
      </w:pPr>
      <w:rPr>
        <w:rFonts w:ascii="Wingdings" w:hAnsi="Wingdings" w:hint="default"/>
      </w:rPr>
    </w:lvl>
    <w:lvl w:ilvl="3" w:tplc="03CA95C2">
      <w:start w:val="652"/>
      <w:numFmt w:val="bullet"/>
      <w:lvlText w:val=""/>
      <w:lvlJc w:val="left"/>
      <w:pPr>
        <w:tabs>
          <w:tab w:val="num" w:pos="2880"/>
        </w:tabs>
        <w:ind w:left="2880" w:hanging="360"/>
      </w:pPr>
      <w:rPr>
        <w:rFonts w:ascii="Wingdings" w:hAnsi="Wingdings" w:hint="default"/>
      </w:rPr>
    </w:lvl>
    <w:lvl w:ilvl="4" w:tplc="A8D0ACA8">
      <w:start w:val="1"/>
      <w:numFmt w:val="bullet"/>
      <w:lvlText w:val=""/>
      <w:lvlJc w:val="left"/>
      <w:pPr>
        <w:tabs>
          <w:tab w:val="num" w:pos="3600"/>
        </w:tabs>
        <w:ind w:left="3600" w:hanging="360"/>
      </w:pPr>
      <w:rPr>
        <w:rFonts w:ascii="Wingdings" w:hAnsi="Wingdings" w:hint="default"/>
      </w:rPr>
    </w:lvl>
    <w:lvl w:ilvl="5" w:tplc="2B0CDAA0" w:tentative="1">
      <w:start w:val="1"/>
      <w:numFmt w:val="bullet"/>
      <w:lvlText w:val=""/>
      <w:lvlJc w:val="left"/>
      <w:pPr>
        <w:tabs>
          <w:tab w:val="num" w:pos="4320"/>
        </w:tabs>
        <w:ind w:left="4320" w:hanging="360"/>
      </w:pPr>
      <w:rPr>
        <w:rFonts w:ascii="Wingdings" w:hAnsi="Wingdings" w:hint="default"/>
      </w:rPr>
    </w:lvl>
    <w:lvl w:ilvl="6" w:tplc="E50CAB4E" w:tentative="1">
      <w:start w:val="1"/>
      <w:numFmt w:val="bullet"/>
      <w:lvlText w:val=""/>
      <w:lvlJc w:val="left"/>
      <w:pPr>
        <w:tabs>
          <w:tab w:val="num" w:pos="5040"/>
        </w:tabs>
        <w:ind w:left="5040" w:hanging="360"/>
      </w:pPr>
      <w:rPr>
        <w:rFonts w:ascii="Wingdings" w:hAnsi="Wingdings" w:hint="default"/>
      </w:rPr>
    </w:lvl>
    <w:lvl w:ilvl="7" w:tplc="3F0AE938" w:tentative="1">
      <w:start w:val="1"/>
      <w:numFmt w:val="bullet"/>
      <w:lvlText w:val=""/>
      <w:lvlJc w:val="left"/>
      <w:pPr>
        <w:tabs>
          <w:tab w:val="num" w:pos="5760"/>
        </w:tabs>
        <w:ind w:left="5760" w:hanging="360"/>
      </w:pPr>
      <w:rPr>
        <w:rFonts w:ascii="Wingdings" w:hAnsi="Wingdings" w:hint="default"/>
      </w:rPr>
    </w:lvl>
    <w:lvl w:ilvl="8" w:tplc="8F22A0B0" w:tentative="1">
      <w:start w:val="1"/>
      <w:numFmt w:val="bullet"/>
      <w:lvlText w:val=""/>
      <w:lvlJc w:val="left"/>
      <w:pPr>
        <w:tabs>
          <w:tab w:val="num" w:pos="6480"/>
        </w:tabs>
        <w:ind w:left="6480" w:hanging="360"/>
      </w:pPr>
      <w:rPr>
        <w:rFonts w:ascii="Wingdings" w:hAnsi="Wingdings" w:hint="default"/>
      </w:rPr>
    </w:lvl>
  </w:abstractNum>
  <w:abstractNum w:abstractNumId="6">
    <w:nsid w:val="52804862"/>
    <w:multiLevelType w:val="hybridMultilevel"/>
    <w:tmpl w:val="5C2C5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9E2A9B"/>
    <w:multiLevelType w:val="hybridMultilevel"/>
    <w:tmpl w:val="4C1E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3864F4"/>
    <w:multiLevelType w:val="hybridMultilevel"/>
    <w:tmpl w:val="4EF808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C133788"/>
    <w:multiLevelType w:val="hybridMultilevel"/>
    <w:tmpl w:val="11100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0"/>
  </w:num>
  <w:num w:numId="6">
    <w:abstractNumId w:val="6"/>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94F"/>
    <w:rsid w:val="00024CFC"/>
    <w:rsid w:val="0004616D"/>
    <w:rsid w:val="0006514C"/>
    <w:rsid w:val="000C7BCF"/>
    <w:rsid w:val="00112C5E"/>
    <w:rsid w:val="00216D9F"/>
    <w:rsid w:val="00224405"/>
    <w:rsid w:val="002470AC"/>
    <w:rsid w:val="0031694F"/>
    <w:rsid w:val="003507AD"/>
    <w:rsid w:val="004054F5"/>
    <w:rsid w:val="00411BA5"/>
    <w:rsid w:val="004604CA"/>
    <w:rsid w:val="004752D3"/>
    <w:rsid w:val="004F18CB"/>
    <w:rsid w:val="00531C1C"/>
    <w:rsid w:val="005572ED"/>
    <w:rsid w:val="005A4E4E"/>
    <w:rsid w:val="005D63BC"/>
    <w:rsid w:val="006C347B"/>
    <w:rsid w:val="006F151C"/>
    <w:rsid w:val="007B1FF2"/>
    <w:rsid w:val="00867BB5"/>
    <w:rsid w:val="008A2328"/>
    <w:rsid w:val="0091028C"/>
    <w:rsid w:val="009416CA"/>
    <w:rsid w:val="00973A4F"/>
    <w:rsid w:val="00A15FB0"/>
    <w:rsid w:val="00A4693E"/>
    <w:rsid w:val="00AD2898"/>
    <w:rsid w:val="00B27ACB"/>
    <w:rsid w:val="00B35E5E"/>
    <w:rsid w:val="00B7787E"/>
    <w:rsid w:val="00C71CFA"/>
    <w:rsid w:val="00D426DC"/>
    <w:rsid w:val="00D95A9A"/>
    <w:rsid w:val="00DB5623"/>
    <w:rsid w:val="00DC3C32"/>
    <w:rsid w:val="00E00798"/>
    <w:rsid w:val="00EA216A"/>
    <w:rsid w:val="00EB2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2" type="connector" idref="#_x0000_s1044"/>
      </o:rules>
      <o:regrouptable v:ext="edit">
        <o:entry new="1" old="0"/>
      </o:regrouptable>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00"/>
    </w:pPr>
    <w:rPr>
      <w:rFonts w:ascii="Garamond" w:hAnsi="Garamond" w:cs="Garamond"/>
      <w:color w:val="000000"/>
      <w:kern w:val="28"/>
      <w:sz w:val="18"/>
      <w:szCs w:val="18"/>
    </w:rPr>
  </w:style>
  <w:style w:type="paragraph" w:styleId="Titre3">
    <w:name w:val="heading 3"/>
    <w:basedOn w:val="Normal"/>
    <w:link w:val="Titre3Car"/>
    <w:uiPriority w:val="99"/>
    <w:qFormat/>
    <w:pPr>
      <w:spacing w:line="300" w:lineRule="auto"/>
      <w:jc w:val="center"/>
      <w:outlineLvl w:val="2"/>
    </w:pPr>
    <w:rPr>
      <w:rFonts w:ascii="Copperplate Gothic Bold" w:hAnsi="Copperplate Gothic Bold" w:cs="Copperplate Gothic Bold"/>
      <w:color w:val="FFFFFF"/>
      <w:spacing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pPr>
      <w:spacing w:after="160" w:line="480" w:lineRule="auto"/>
      <w:jc w:val="center"/>
    </w:pPr>
  </w:style>
  <w:style w:type="character" w:customStyle="1" w:styleId="CorpsdetexteCar">
    <w:name w:val="Corps de texte Car"/>
    <w:basedOn w:val="Policepardfaut"/>
    <w:link w:val="Corpsdetexte"/>
    <w:uiPriority w:val="99"/>
    <w:semiHidden/>
    <w:rsid w:val="0031694F"/>
    <w:rPr>
      <w:rFonts w:ascii="Garamond" w:hAnsi="Garamond" w:cs="Garamond"/>
      <w:color w:val="000000"/>
      <w:kern w:val="28"/>
      <w:sz w:val="18"/>
      <w:szCs w:val="18"/>
    </w:rPr>
  </w:style>
  <w:style w:type="character" w:customStyle="1" w:styleId="Titre3Car">
    <w:name w:val="Titre 3 Car"/>
    <w:basedOn w:val="Policepardfaut"/>
    <w:link w:val="Titre3"/>
    <w:uiPriority w:val="99"/>
    <w:rsid w:val="0031694F"/>
    <w:rPr>
      <w:rFonts w:asciiTheme="majorHAnsi" w:eastAsiaTheme="majorEastAsia" w:hAnsiTheme="majorHAnsi" w:cstheme="majorBidi"/>
      <w:b/>
      <w:bCs/>
      <w:color w:val="000000"/>
      <w:kern w:val="28"/>
      <w:sz w:val="26"/>
      <w:szCs w:val="26"/>
    </w:rPr>
  </w:style>
  <w:style w:type="paragraph" w:styleId="Corpsdetexte3">
    <w:name w:val="Body Text 3"/>
    <w:basedOn w:val="Normal"/>
    <w:link w:val="Corpsdetexte3Car"/>
    <w:uiPriority w:val="99"/>
    <w:pPr>
      <w:spacing w:after="160"/>
      <w:jc w:val="center"/>
    </w:pPr>
  </w:style>
  <w:style w:type="character" w:customStyle="1" w:styleId="Corpsdetexte3Car">
    <w:name w:val="Corps de texte 3 Car"/>
    <w:basedOn w:val="Policepardfaut"/>
    <w:link w:val="Corpsdetexte3"/>
    <w:uiPriority w:val="99"/>
    <w:semiHidden/>
    <w:rsid w:val="0031694F"/>
    <w:rPr>
      <w:rFonts w:ascii="Garamond" w:hAnsi="Garamond" w:cs="Garamond"/>
      <w:color w:val="000000"/>
      <w:kern w:val="28"/>
      <w:sz w:val="16"/>
      <w:szCs w:val="16"/>
    </w:rPr>
  </w:style>
  <w:style w:type="paragraph" w:customStyle="1" w:styleId="unknownstyle">
    <w:name w:val="unknown style"/>
    <w:basedOn w:val="Normal"/>
    <w:uiPriority w:val="99"/>
    <w:rPr>
      <w:rFonts w:ascii="Tw Cen MT" w:hAnsi="Tw Cen MT" w:cs="Tw Cen MT"/>
      <w:b/>
      <w:bCs/>
    </w:rPr>
  </w:style>
  <w:style w:type="paragraph" w:customStyle="1" w:styleId="unknownstyle1">
    <w:name w:val="unknown style1"/>
    <w:uiPriority w:val="99"/>
    <w:pPr>
      <w:widowControl w:val="0"/>
      <w:overflowPunct w:val="0"/>
      <w:autoSpaceDE w:val="0"/>
      <w:autoSpaceDN w:val="0"/>
      <w:adjustRightInd w:val="0"/>
      <w:spacing w:after="80"/>
    </w:pPr>
    <w:rPr>
      <w:rFonts w:ascii="Tw Cen MT" w:hAnsi="Tw Cen MT" w:cs="Tw Cen MT"/>
      <w:color w:val="000000"/>
      <w:kern w:val="28"/>
      <w:sz w:val="18"/>
      <w:szCs w:val="18"/>
    </w:rPr>
  </w:style>
  <w:style w:type="paragraph" w:customStyle="1" w:styleId="Default">
    <w:name w:val="Default"/>
    <w:uiPriority w:val="99"/>
    <w:pPr>
      <w:widowControl w:val="0"/>
      <w:overflowPunct w:val="0"/>
      <w:autoSpaceDE w:val="0"/>
      <w:autoSpaceDN w:val="0"/>
      <w:adjustRightInd w:val="0"/>
      <w:spacing w:line="275" w:lineRule="auto"/>
    </w:pPr>
    <w:rPr>
      <w:rFonts w:ascii="Garamond" w:hAnsi="Garamond" w:cs="Garamond"/>
      <w:color w:val="000000"/>
      <w:kern w:val="28"/>
      <w:sz w:val="24"/>
      <w:szCs w:val="24"/>
    </w:rPr>
  </w:style>
  <w:style w:type="character" w:styleId="Lienhypertexte">
    <w:name w:val="Hyperlink"/>
    <w:basedOn w:val="Policepardfaut"/>
    <w:uiPriority w:val="99"/>
    <w:unhideWhenUsed/>
    <w:rsid w:val="00216D9F"/>
    <w:rPr>
      <w:color w:val="0000FF" w:themeColor="hyperlink"/>
      <w:u w:val="single"/>
    </w:rPr>
  </w:style>
  <w:style w:type="paragraph" w:styleId="Textedebulles">
    <w:name w:val="Balloon Text"/>
    <w:basedOn w:val="Normal"/>
    <w:link w:val="TextedebullesCar"/>
    <w:uiPriority w:val="99"/>
    <w:semiHidden/>
    <w:unhideWhenUsed/>
    <w:rsid w:val="006C34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47B"/>
    <w:rPr>
      <w:rFonts w:ascii="Tahoma" w:hAnsi="Tahoma" w:cs="Tahoma"/>
      <w:color w:val="000000"/>
      <w:kern w:val="28"/>
      <w:sz w:val="16"/>
      <w:szCs w:val="16"/>
    </w:rPr>
  </w:style>
  <w:style w:type="paragraph" w:styleId="Paragraphedeliste">
    <w:name w:val="List Paragraph"/>
    <w:aliases w:val="Reco"/>
    <w:basedOn w:val="Normal"/>
    <w:link w:val="ParagraphedelisteCar"/>
    <w:uiPriority w:val="34"/>
    <w:qFormat/>
    <w:rsid w:val="0091028C"/>
    <w:pPr>
      <w:widowControl/>
      <w:overflowPunct/>
      <w:autoSpaceDE/>
      <w:autoSpaceDN/>
      <w:adjustRightInd/>
      <w:spacing w:after="0"/>
      <w:ind w:left="720"/>
    </w:pPr>
    <w:rPr>
      <w:rFonts w:ascii="Calibri" w:eastAsia="Calibri" w:hAnsi="Calibri" w:cs="Times New Roman"/>
      <w:kern w:val="0"/>
      <w:sz w:val="22"/>
      <w:szCs w:val="22"/>
      <w:lang w:eastAsia="en-US"/>
    </w:rPr>
  </w:style>
  <w:style w:type="paragraph" w:customStyle="1" w:styleId="msoaccenttext">
    <w:name w:val="msoaccenttext"/>
    <w:basedOn w:val="Normal"/>
    <w:rsid w:val="0091028C"/>
    <w:pPr>
      <w:widowControl/>
      <w:overflowPunct/>
      <w:autoSpaceDE/>
      <w:autoSpaceDN/>
      <w:adjustRightInd/>
    </w:pPr>
    <w:rPr>
      <w:rFonts w:ascii="Tw Cen MT" w:eastAsia="Times New Roman" w:hAnsi="Tw Cen MT" w:cs="Times New Roman"/>
      <w:b/>
      <w:bCs/>
    </w:rPr>
  </w:style>
  <w:style w:type="character" w:customStyle="1" w:styleId="ParagraphedelisteCar">
    <w:name w:val="Paragraphe de liste Car"/>
    <w:aliases w:val="Reco Car"/>
    <w:link w:val="Paragraphedeliste"/>
    <w:uiPriority w:val="34"/>
    <w:locked/>
    <w:rsid w:val="00112C5E"/>
    <w:rPr>
      <w:rFonts w:ascii="Calibri" w:eastAsia="Calibri" w:hAnsi="Calibri"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645">
      <w:bodyDiv w:val="1"/>
      <w:marLeft w:val="0"/>
      <w:marRight w:val="0"/>
      <w:marTop w:val="0"/>
      <w:marBottom w:val="0"/>
      <w:divBdr>
        <w:top w:val="none" w:sz="0" w:space="0" w:color="auto"/>
        <w:left w:val="none" w:sz="0" w:space="0" w:color="auto"/>
        <w:bottom w:val="none" w:sz="0" w:space="0" w:color="auto"/>
        <w:right w:val="none" w:sz="0" w:space="0" w:color="auto"/>
      </w:divBdr>
    </w:div>
    <w:div w:id="344287442">
      <w:bodyDiv w:val="1"/>
      <w:marLeft w:val="0"/>
      <w:marRight w:val="0"/>
      <w:marTop w:val="0"/>
      <w:marBottom w:val="0"/>
      <w:divBdr>
        <w:top w:val="none" w:sz="0" w:space="0" w:color="auto"/>
        <w:left w:val="none" w:sz="0" w:space="0" w:color="auto"/>
        <w:bottom w:val="none" w:sz="0" w:space="0" w:color="auto"/>
        <w:right w:val="none" w:sz="0" w:space="0" w:color="auto"/>
      </w:divBdr>
    </w:div>
    <w:div w:id="517551125">
      <w:bodyDiv w:val="1"/>
      <w:marLeft w:val="0"/>
      <w:marRight w:val="0"/>
      <w:marTop w:val="0"/>
      <w:marBottom w:val="0"/>
      <w:divBdr>
        <w:top w:val="none" w:sz="0" w:space="0" w:color="auto"/>
        <w:left w:val="none" w:sz="0" w:space="0" w:color="auto"/>
        <w:bottom w:val="none" w:sz="0" w:space="0" w:color="auto"/>
        <w:right w:val="none" w:sz="0" w:space="0" w:color="auto"/>
      </w:divBdr>
    </w:div>
    <w:div w:id="1043365415">
      <w:bodyDiv w:val="1"/>
      <w:marLeft w:val="0"/>
      <w:marRight w:val="0"/>
      <w:marTop w:val="0"/>
      <w:marBottom w:val="0"/>
      <w:divBdr>
        <w:top w:val="none" w:sz="0" w:space="0" w:color="auto"/>
        <w:left w:val="none" w:sz="0" w:space="0" w:color="auto"/>
        <w:bottom w:val="none" w:sz="0" w:space="0" w:color="auto"/>
        <w:right w:val="none" w:sz="0" w:space="0" w:color="auto"/>
      </w:divBdr>
    </w:div>
    <w:div w:id="1158839293">
      <w:bodyDiv w:val="1"/>
      <w:marLeft w:val="0"/>
      <w:marRight w:val="0"/>
      <w:marTop w:val="0"/>
      <w:marBottom w:val="0"/>
      <w:divBdr>
        <w:top w:val="none" w:sz="0" w:space="0" w:color="auto"/>
        <w:left w:val="none" w:sz="0" w:space="0" w:color="auto"/>
        <w:bottom w:val="none" w:sz="0" w:space="0" w:color="auto"/>
        <w:right w:val="none" w:sz="0" w:space="0" w:color="auto"/>
      </w:divBdr>
    </w:div>
    <w:div w:id="21329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irn.info/revue-pratique-en-sante-mentale-2019-2-page-2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IMG/pdf/Rapport_Zero_sans_solution_.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blaisea</cp:lastModifiedBy>
  <cp:revision>39</cp:revision>
  <cp:lastPrinted>2019-06-24T11:47:00Z</cp:lastPrinted>
  <dcterms:created xsi:type="dcterms:W3CDTF">2019-06-24T10:14:00Z</dcterms:created>
  <dcterms:modified xsi:type="dcterms:W3CDTF">2019-07-08T10:31:00Z</dcterms:modified>
</cp:coreProperties>
</file>